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BeitrVV — Entgeltunterlagen</w:t>
      </w:r>
    </w:p>
    <w:p>
      <w:r>
        <w:rPr>
          <w:color w:val="555555"/>
          <w:sz w:val="18"/>
        </w:rPr>
        <w:t xml:space="preserve">Beitragsverfahrensverordnung</w:t>
      </w:r>
    </w:p>
    <w:p>
      <w:r>
        <w:rPr>
          <w:color w:val="555555"/>
          <w:sz w:val="18"/>
        </w:rPr>
        <w:t xml:space="preserve">Stand: 01.07.2026 (konsolidierte Textfassung, kein amtliches Inkrafttretensdatum)</w:t>
      </w:r>
    </w:p>
    <w:p>
      <w:r>
        <w:t xml:space="preserve">(1) Der Arbeitgeber hat in den Entgeltunterlagen folgende Angaben über den Beschäftigten aufzunehmen:</w:t>
      </w:r>
    </w:p>
    <w:p>
      <w:pPr>
        <w:ind w:left="420"/>
      </w:pPr>
      <w:r>
        <w:t xml:space="preserve">1. den Familien- und Vornamen und gegebenenfalls das betriebliche Ordnungsmerkmal,</w:t>
      </w:r>
    </w:p>
    <w:p>
      <w:pPr>
        <w:ind w:left="420"/>
      </w:pPr>
      <w:r>
        <w:t xml:space="preserve">2. das Geburtsdatum,</w:t>
      </w:r>
    </w:p>
    <w:p>
      <w:pPr>
        <w:ind w:left="420"/>
      </w:pPr>
      <w:r>
        <w:t xml:space="preserve">3. bei Ausländern aus Staaten außerhalb des Europäischen Wirtschaftsraums die Staatsangehörigkeit und den Aufenthaltstitel,</w:t>
      </w:r>
    </w:p>
    <w:p>
      <w:pPr>
        <w:ind w:left="420"/>
      </w:pPr>
      <w:r>
        <w:t xml:space="preserve">4. die Anschrift,</w:t>
      </w:r>
    </w:p>
    <w:p>
      <w:pPr>
        <w:ind w:left="420"/>
      </w:pPr>
      <w:r>
        <w:t xml:space="preserve">5. den Beginn und das Ende der Beschäftigung,</w:t>
      </w:r>
    </w:p>
    <w:p>
      <w:pPr>
        <w:ind w:left="420"/>
      </w:pPr>
      <w:r>
        <w:t xml:space="preserve">6. den Beginn und das Ende der Altersteilzeitarbeit,</w:t>
      </w:r>
    </w:p>
    <w:p>
      <w:pPr>
        <w:ind w:left="420"/>
      </w:pPr>
      <w:r>
        <w:t xml:space="preserve">7. das Wertguthaben aus flexibler Arbeitszeit einschließlich der Änderungen (Zu- und Abgänge), den Abrechnungsmonat der ersten Gutschrift sowie den Abrechnungsmonat für jede Änderung und einen Nachweis über die getroffenen Vorkehrungen zum Insolvenzschutz; bei auf Dritte übertragenen Wertguthaben sind diese beim Dritten zu kennzeichnen,</w:t>
      </w:r>
    </w:p>
    <w:p>
      <w:pPr>
        <w:ind w:left="420"/>
      </w:pPr>
      <w:r>
        <w:t xml:space="preserve">8. die Beschäftigungsart,</w:t>
      </w:r>
    </w:p>
    <w:p>
      <w:pPr>
        <w:ind w:left="420"/>
      </w:pPr>
      <w:r>
        <w:t xml:space="preserve">9. die für die Versicherungsfreiheit oder die Befreiung von der Versicherungspflicht maßgebenden Angaben,</w:t>
      </w:r>
    </w:p>
    <w:p>
      <w:pPr>
        <w:ind w:left="420"/>
      </w:pPr>
      <w:r>
        <w:t xml:space="preserve">10. das Arbeitsentgelt nach § 14 des Vierten Buches Sozialgesetzbuch, seine Zusammensetzung und zeitliche Zuordnung, ausgenommen sind Sachbezüge und Belegschaftsrabatte, soweit für sie eine Aufzeichnungspflicht nach dem Einkommensteuergesetz nicht besteht,</w:t>
      </w:r>
    </w:p>
    <w:p>
      <w:pPr>
        <w:ind w:left="420"/>
      </w:pPr>
      <w:r>
        <w:t xml:space="preserve">11. das beitragspflichtige Arbeitsentgelt bis zur Beitragsbemessungsgrenze der Rentenversicherung, seine Zusammensetzung und zeitliche Zuordnung,</w:t>
      </w:r>
    </w:p>
    <w:p>
      <w:pPr>
        <w:ind w:left="420"/>
      </w:pPr>
      <w:r>
        <w:t xml:space="preserve">11a. das in der Unfallversicherung beitragspflichtige Arbeitsentgelt, die anzuwendende Gefahrtarifstelle und die jeweilige zeitliche Zuordnung,</w:t>
      </w:r>
    </w:p>
    <w:p>
      <w:pPr>
        <w:ind w:left="420"/>
      </w:pPr>
      <w:r>
        <w:t xml:space="preserve">12. den Betrag nach § 3 Abs. 1 Nr. 1 Buchstabe b des Altersteilzeitgesetzes,</w:t>
      </w:r>
    </w:p>
    <w:p>
      <w:pPr>
        <w:ind w:left="420"/>
      </w:pPr>
      <w:r>
        <w:t xml:space="preserve">13. den Beitragsgruppenschlüssel,</w:t>
      </w:r>
    </w:p>
    <w:p>
      <w:pPr>
        <w:ind w:left="420"/>
      </w:pPr>
      <w:r>
        <w:t xml:space="preserve">14. die Einzugsstelle für den Gesamtsozialversicherungsbeitrag,</w:t>
      </w:r>
    </w:p>
    <w:p>
      <w:pPr>
        <w:ind w:left="420"/>
      </w:pPr>
      <w:r>
        <w:t xml:space="preserve">15. den vom Beschäftigten zu tragenden Anteil am Gesamtsozialversicherungsbeitrag, nach Beitragsgruppen getrennt,</w:t>
      </w:r>
    </w:p>
    <w:p>
      <w:pPr>
        <w:ind w:left="420"/>
      </w:pPr>
      <w:r>
        <w:t xml:space="preserve">16. die für die Erstattung von Meldungen erforderlichen Daten, soweit sie in den Nummern 1 bis 14 nicht enthalten sind,</w:t>
      </w:r>
    </w:p>
    <w:p>
      <w:pPr>
        <w:ind w:left="420"/>
      </w:pPr>
      <w:r>
        <w:t xml:space="preserve">17. bei Entsendung Eigenart und zeitliche Begrenzung der Beschäftigung,</w:t>
      </w:r>
    </w:p>
    <w:p>
      <w:pPr>
        <w:ind w:left="420"/>
      </w:pPr>
      <w:r>
        <w:t xml:space="preserve">18. gezahltes Kurzarbeitergeld und die hierauf entfallenden beitragspflichtigen Einnahmen,</w:t>
      </w:r>
    </w:p>
    <w:p>
      <w:pPr>
        <w:ind w:left="420"/>
      </w:pPr>
      <w:r>
        <w:t xml:space="preserve">19. Wertguthaben aus flexibler Arbeitszeit bis zum 31. Dezember 2009, für die noch Beiträge zur gesetzlichen Unfallversicherung zu entrichten sind.</w:t>
      </w:r>
    </w:p>
    <w:p>
      <w:r>
        <w:t xml:space="preserve">Bestehen die Entgeltunterlagen aus mehreren Teilen, sind diese Teile durch ein betriebliches Ordnungsmerkmal zu verbinden. Die Angaben nach Satz 1 Nr. 10 bis 15 und 18 sind für jeden Entgeltabrechnungszeitraum erforderlich. Die Beträge nach Satz 1 Nr. 11 und 12 sind für die Meldungen zu summieren. Berichtigungen zu den Angaben nach Satz 1 Nr. 10 bis 15 und 18 oder Stornierungen sind besonders kenntlich zu machen. Die Angaben nach Satz 1 Nr. 8, 9 und 14 können verschlüsselt werden.</w:t>
      </w:r>
    </w:p>
    <w:p>
      <w:r>
        <w:t xml:space="preserve">(2) Folgende Unterlagen sind in elektronischer Form zu den Entgeltunterlagen zu nehmen:</w:t>
      </w:r>
    </w:p>
    <w:p>
      <w:pPr>
        <w:ind w:left="420"/>
      </w:pPr>
      <w:r>
        <w:t xml:space="preserve">1. Unterlagen, aus denen die nach Absatz 1 Satz 1 Nr. 3, 9 und 17 erforderlichen Angaben ersichtlich sind,</w:t>
      </w:r>
    </w:p>
    <w:p>
      <w:pPr>
        <w:ind w:left="420"/>
      </w:pPr>
      <w:r>
        <w:t xml:space="preserve">2. die Arbeitserlaubnis der Bundesagentur für Arbeit nach § 15d der Beschäftigungsverordnung oder der nach § 19c Absatz 1 des Aufenthaltsgesetzes in Verbindung mit § 15d der Beschäftigungsverordnung erteilte Aufenthaltstitel,</w:t>
      </w:r>
    </w:p>
    <w:p>
      <w:pPr>
        <w:ind w:left="420"/>
      </w:pPr>
      <w:r>
        <w:t xml:space="preserve">3. die Daten der erstatteten Meldungen,</w:t>
      </w:r>
    </w:p>
    <w:p>
      <w:pPr>
        <w:ind w:left="420"/>
      </w:pPr>
      <w:r>
        <w:t xml:space="preserve">3a. die Daten der von den Krankenkassen übermittelten Meldungen, die Auswirkungen auf die Beitragsberechnung des Arbeitgebers haben,</w:t>
      </w:r>
    </w:p>
    <w:p>
      <w:pPr>
        <w:ind w:left="420"/>
      </w:pPr>
      <w:r>
        <w:t xml:space="preserve">4. die Erklärung des geringfügig Beschäftigten gegenüber dem Arbeitgeber, dass auf Versicherungsfreiheit in der Rentenversicherung verzichtet wird,</w:t>
      </w:r>
    </w:p>
    <w:p>
      <w:pPr>
        <w:ind w:left="420"/>
      </w:pPr>
      <w:r>
        <w:t xml:space="preserve">4a. der Antrag auf Befreiung von der Versicherungspflicht nach § 6 Absatz 1b des Sechsten Buches Sozialgesetzbuch, auf dem der Tag des Eingangs beim Arbeitgeber dokumentiert ist,</w:t>
      </w:r>
    </w:p>
    <w:p>
      <w:pPr>
        <w:ind w:left="420"/>
      </w:pPr>
      <w:r>
        <w:t xml:space="preserve">4b. der Antrag auf Aufhebung der Befreiung von der Versicherungspflicht nach § 6 Absatz 6 des Sechsten Buches Sozialgesetzbuch, auf dem der Tag des Eingangs beim Arbeitgeber dokumentiert ist,</w:t>
      </w:r>
    </w:p>
    <w:p>
      <w:pPr>
        <w:ind w:left="420"/>
      </w:pPr>
      <w:r>
        <w:t xml:space="preserve">5. (weggefallen)</w:t>
      </w:r>
    </w:p>
    <w:p>
      <w:pPr>
        <w:ind w:left="420"/>
      </w:pPr>
      <w:r>
        <w:t xml:space="preserve">5a. (weggefallen)</w:t>
      </w:r>
    </w:p>
    <w:p>
      <w:pPr>
        <w:ind w:left="420"/>
      </w:pPr>
      <w:r>
        <w:t xml:space="preserve">6. eine Kopie der Niederschrift nach § 2 des Nachweisgesetzes sowie für Seefahrtbetriebe eine Kopie des Heuervertrages nach § 28 des Seearbeitsgesetzes,</w:t>
      </w:r>
    </w:p>
    <w:p>
      <w:pPr>
        <w:ind w:left="420"/>
      </w:pPr>
      <w:r>
        <w:t xml:space="preserve">7. die Erklärung des kurzfristig geringfügigen Beschäftigten über weitere kurzfristige Beschäftigungen im Kalenderjahr oder die Erklärung des geringfügig entlohnten Beschäftigten über weitere Beschäftigungen sowie in beiden Fällen die Bestätigung, dass die Aufnahme weiterer Beschäftigungen dem Arbeitgeber anzuzeigen sind,</w:t>
      </w:r>
    </w:p>
    <w:p>
      <w:pPr>
        <w:ind w:left="420"/>
      </w:pPr>
      <w:r>
        <w:t xml:space="preserve">7a. der Nachweis eines Krankenversicherungsschutzes nach § 28a Absatz 9a des Vierten Buches Sozialgesetzbuch,</w:t>
      </w:r>
    </w:p>
    <w:p>
      <w:pPr>
        <w:ind w:left="420"/>
      </w:pPr>
      <w:r>
        <w:t xml:space="preserve">8. eine Kopie des Antrags nach § 7a Absatz 1 des Vierten Buches Sozialgesetzbuch mit den von der Deutschen Rentenversicherung Bund für ihre Entscheidung benötigten Unterlagen, deren Bescheid nach § 7a Absatz 2 des Vierten Buches Sozialgesetzbuch, gutachterliche Äußerungen nach § 7a Absatz 4b des Vierten Buches Sozialgesetzbuch sowie eine Dokumentation, welchen Auftragnehmern er eine Kopie der gutachterlichen Äußerung nach § 7a Absatz 4b Satz 4 des Vierten Buches Sozialgesetzbuch ausgehändigt hat,</w:t>
      </w:r>
    </w:p>
    <w:p>
      <w:pPr>
        <w:ind w:left="420"/>
      </w:pPr>
      <w:r>
        <w:t xml:space="preserve">9. den Bescheid der zuständigen Einzugsstelle über die Feststellung der Versicherungspflicht nach § 28h Abs. 2 des Vierten Buches Sozialgesetzbuch,</w:t>
      </w:r>
    </w:p>
    <w:p>
      <w:pPr>
        <w:ind w:left="420"/>
      </w:pPr>
      <w:r>
        <w:t xml:space="preserve">10. die Entscheidung der Finanzbehörden, dass die vom Arbeitgeber getragenen oder übernommenen Studiengebühren für ein Studium des Beschäftigten steuerrechtlich kein Arbeitslohn sind,</w:t>
      </w:r>
    </w:p>
    <w:p>
      <w:pPr>
        <w:ind w:left="420"/>
      </w:pPr>
      <w:r>
        <w:t xml:space="preserve">11. den Nachweis der Elterneigenschaft sowie den Nachweis über die Anzahl der zu berücksichtigenden Kinder nach § 55 Abs. 3 des Elften Buches Sozialgesetzbuch,</w:t>
      </w:r>
    </w:p>
    <w:p>
      <w:pPr>
        <w:ind w:left="420"/>
      </w:pPr>
      <w:r>
        <w:t xml:space="preserve">12. die eine Kopie der Erklärung über den Auszahlungsverzicht von zustehenden Entgeltansprüchen,</w:t>
      </w:r>
    </w:p>
    <w:p>
      <w:pPr>
        <w:ind w:left="420"/>
      </w:pPr>
      <w:r>
        <w:t xml:space="preserve">13. die Aufzeichnungen nach § 19 Absatz 1 des Arbeitnehmer-Entsendegesetzes und nach § 17 Absatz 1 des Mindestlohngesetzes,</w:t>
      </w:r>
    </w:p>
    <w:p>
      <w:pPr>
        <w:ind w:left="420"/>
      </w:pPr>
      <w:r>
        <w:t xml:space="preserve">14. die Bescheinigung nach § 44a Absatz 5 des Elften Buches Sozialgesetzbuch, wenn die Beschäftigung wegen Bezugs von Pflegeunterstützungsgeld unterbrochen wird,</w:t>
      </w:r>
    </w:p>
    <w:p>
      <w:pPr>
        <w:ind w:left="420"/>
      </w:pPr>
      <w:r>
        <w:t xml:space="preserve">15. die eine Kopie der Erklärung des oder der Beschäftigten zur Inanspruchnahme einer Pflegezeit im Sinne des § 3 des Pflegezeitgesetzes,</w:t>
      </w:r>
    </w:p>
    <w:p>
      <w:pPr>
        <w:ind w:left="420"/>
      </w:pPr>
      <w:r>
        <w:t xml:space="preserve">16. für Seefahrtbetriebe die Besatzungslisten sowie Seetagebücher nach § 22 des Seearbeitsgesetzes, für Binnenschiffe die Schiffsatteste und für Schiffe der Rheinschifffahrt die Rheinschifffahrtszugehörigkeitsurkunde in Kopie,</w:t>
      </w:r>
    </w:p>
    <w:p>
      <w:pPr>
        <w:ind w:left="420"/>
      </w:pPr>
      <w:r>
        <w:t xml:space="preserve">17. (weggefallen)</w:t>
      </w:r>
    </w:p>
    <w:p>
      <w:pPr>
        <w:ind w:left="420"/>
      </w:pPr>
      <w:r>
        <w:t xml:space="preserve">18. die Daten der übermittelten Bescheinigungen nach den §§ 106 bis 106c des Vierten Buches Sozialgesetzbuch,</w:t>
      </w:r>
    </w:p>
    <w:p>
      <w:pPr>
        <w:ind w:left="420"/>
      </w:pPr>
      <w:r>
        <w:t xml:space="preserve">18a. bei einem Antrag auf Abschluss einer Ausnahmevereinbarung eine Erklärung, in welcher der Beschäftigte bestätigt, dass der Abschluss einer Ausnahmevereinbarung zur Geltung der deutschen Rechtsvorschriften nach Artikel 16 der Verordnung (EG) Nr. 883/2004 des Europäischen Parlaments und des Rates vom 29. April 2004 in seinem Interesse liegt,</w:t>
      </w:r>
    </w:p>
    <w:p>
      <w:pPr>
        <w:ind w:left="420"/>
      </w:pPr>
      <w:r>
        <w:t xml:space="preserve">19. die Erklärung des Verzichts auf die Versicherungsfreiheit nach § 5 Absatz 4 Satz 2 oder § 230 Absatz 9 Satz 2 des Sechsten Buches Sozialgesetzbuch, auf der der Tag des Eingangs beim Arbeitgeber dokumentiert ist,</w:t>
      </w:r>
    </w:p>
    <w:p>
      <w:pPr>
        <w:ind w:left="420"/>
      </w:pPr>
      <w:r>
        <w:t xml:space="preserve">20. die Zustimmung des Beschäftigten zum Zeitpunkt des Eintritts der Versicherungspflicht aufgrund Beschäftigung nach § 127 Absatz 1 Satz 1 Nummer 2 und Satz 2 des Vierten Buches Sozialgesetzbuch.</w:t>
      </w:r>
    </w:p>
    <w:p>
      <w:r>
        <w:t xml:space="preserve">In den Fällen des § 126 des Vierten Buches Sozialgesetzbuch kann weiterhin eine Prüfung von schriftlichen Unterlagen erfolgen.</w:t>
      </w:r>
    </w:p>
    <w:p>
      <w:r>
        <w:t xml:space="preserve">(3) Die in Absatz 2 genannten Entgeltunterlagen, soweit sie nicht elektronisch aus der Abrechnung des Arbeitgebers entnommen werden können, sind dem Arbeitgeber von den zuständigen Stellen oder dem Beschäftigten in elektronischer Form zur Verfügung zu stellen. Bis zum 31. Dezember 2026 kann sich der Arbeitgeber von der Führung elektronischer Unterlagen auf Antrag bei dem für ihn zuständigen Prüfdienst der Deutschen Rentenversicherung nach § 28p des Vierten Buches Sozialgesetzbuch befreien lassen.</w:t>
      </w:r>
    </w:p>
    <w:p>
      <w:r>
        <w:rPr>
          <w:color w:val="555555"/>
          <w:sz w:val="17"/>
        </w:rPr>
        <w:t xml:space="preserve">Zitiervorschlag: § 8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