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BeitrVV — Weiterleitung und Abrechnung sonstiger Beiträge</w:t>
      </w:r>
    </w:p>
    <w:p>
      <w:r>
        <w:rPr>
          <w:color w:val="555555"/>
          <w:sz w:val="18"/>
        </w:rPr>
        <w:t xml:space="preserve">Beitragsverfahrensverordnung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Die §§ 5 und 6 gelten entsprechend für Beitragszahlungen und Beitragsweiterleitungen nach § 252 Abs. 2 des Fünften Buches Sozialgesetzbuch.</w:t>
      </w:r>
    </w:p>
    <w:p>
      <w:r>
        <w:t xml:space="preserve">(2) Die Krankenkasse hat dem Bundesamt für Soziale Sicherung als Verwalter des Gesundheitsfonds die für die Erstellung der Abrechnung nach Absatz 1 erforderlichen Datengrundlagen auf Anforderung vorzulegen. Das Bundesamt für Soziale Sicherung bestimmt das Nähere über die Datenlieferungen nach Anhörung des Spitzenverbandes Bund der Krankenkassen.</w:t>
      </w:r>
    </w:p>
    <w:p>
      <w:r>
        <w:rPr>
          <w:color w:val="555555"/>
          <w:sz w:val="17"/>
        </w:rPr>
        <w:t xml:space="preserve">Zitiervorschlag: § 6a BeitrVV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https://recht.nulegal.eu/gesetze/BeitrVV/6a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