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BeitrVV — Weiterleitung</w:t>
      </w:r>
    </w:p>
    <w:p>
      <w:r>
        <w:rPr>
          <w:color w:val="555555"/>
          <w:sz w:val="18"/>
        </w:rPr>
        <w:t xml:space="preserve">Beitragsverfahrensverordnung</w:t>
      </w:r>
    </w:p>
    <w:p>
      <w:r>
        <w:rPr>
          <w:color w:val="555555"/>
          <w:sz w:val="18"/>
        </w:rPr>
        <w:t xml:space="preserve">Stand: 19.01.2023 (konsolidierte Textfassung, kein amtliches Inkrafttretensdatum)</w:t>
      </w:r>
    </w:p>
    <w:p>
      <w:r>
        <w:t xml:space="preserve">(1) Die Einzugsstelle erteilt an jedem Arbeitstag Aufträge zur Überweisung der nach § 28k Abs. 1 des Vierten Buches Sozialgesetzbuch weiterzuleitenden Beiträge. Die Einzugsstelle ist verpflichtet,</w:t>
      </w:r>
    </w:p>
    <w:p>
      <w:pPr>
        <w:ind w:left="420"/>
      </w:pPr>
      <w:r>
        <w:t xml:space="preserve">1. die vertraglichen Vereinbarungen mit ihrem Geldinstitut so zu gestalten, dass die Beiträge dem Konto der Einzugsstelle an dem Tag gutgeschrieben werden, an dem sie dem Geldinstitut gutgeschrieben werden,</w:t>
      </w:r>
    </w:p>
    <w:p>
      <w:pPr>
        <w:ind w:left="420"/>
      </w:pPr>
      <w:r>
        <w:t xml:space="preserve">2. die Beiträge am Tag der Gutschrift auf ihrem Konto an die Träger der Rentenversicherung, Pflegeversicherung, den Gesundheitsfonds und die Bundesagentur für Arbeit durch Überweisung weiterzuleiten,</w:t>
      </w:r>
    </w:p>
    <w:p>
      <w:pPr>
        <w:ind w:left="420"/>
      </w:pPr>
      <w:r>
        <w:t xml:space="preserve">3. die Buchungen auf ihrem Konto bei dem Geldinstitut elektronisch so abzufragen, dass die dort gutgeschriebenen Beiträge taggleich vor Bankannahmeschluss weitergeleitet werden können.</w:t>
      </w:r>
    </w:p>
    <w:p>
      <w:r>
        <w:t xml:space="preserve">Werden die Beiträge vom Arbeitgeber im Wege des Lastschriftverfahrens eingezogen oder durch Scheck gezahlt, sind die Beiträge am Tag der Wertstellung auf dem Konto der Einzugsstelle in die Beiträge nach Satz 2 Nr. 3 einzubeziehen. Einzugsstellen mit dezentralem Beitragseinzug leiten die Beiträge zentral weiter; als Tag der Gutschrift im Sinne des Satzes 2 gilt der Tag der Gutschrift bei der Nebenstelle, als Tag der Wertstellung im Sinne des Satzes 3 gilt der Tag der Wertstellung bei der Nebenstelle. Ergibt sich am Monatsende eine Unter- oder Überzahlung, ist diese innerhalb einer Woche auszugleichen. Die Einzugsstelle kann mit den Zahlungsempfängern ein Verfahren über die Avise zu erwartender Zahlungen vereinbaren.</w:t>
      </w:r>
    </w:p>
    <w:p>
      <w:r>
        <w:t xml:space="preserve">(2) Die Einzugsstelle hat für die Weiterleitung der Beiträge zur sozialen Pflegeversicherung ein von Absatz 1 Satz 1 abweichendes Verfahren anzuwenden, wenn es für die Pflegekasse wirtschaftlicher als das Überweisungsverfahren ist.</w:t>
      </w:r>
    </w:p>
    <w:p>
      <w:r>
        <w:t xml:space="preserve">(3) Der Zahlungsempfänger kann bestimmen, auf welches seiner Konten die Einzugsstelle zu überweisen hat. Die Bundesagentur für Arbeit bestimmt, an welche ihrer Dienststellen weiterzuleiten ist. Auf Verlangen des Zahlungsempfängers sind die Überweisungen beschleunigt, z. B. durch Blitzgiro oder telegrafisch, vorzunehmen; die anfallenden Gebühren behalten die Einzugsstellen ein.</w:t>
      </w:r>
    </w:p>
    <w:p>
      <w:r>
        <w:t xml:space="preserve">(4) (weggefallen)</w:t>
      </w:r>
    </w:p>
    <w:p>
      <w:r>
        <w:rPr>
          <w:color w:val="555555"/>
          <w:sz w:val="17"/>
        </w:rPr>
        <w:t xml:space="preserve">Zitiervorschlag: § 5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