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BeitrVV — Reihenfolge der Tilgung</w:t>
      </w:r>
    </w:p>
    <w:p>
      <w:r>
        <w:rPr>
          <w:color w:val="555555"/>
          <w:sz w:val="18"/>
        </w:rPr>
        <w:t xml:space="preserve">Beitragsverfahrensverordnung</w:t>
      </w:r>
    </w:p>
    <w:p>
      <w:r>
        <w:rPr>
          <w:color w:val="555555"/>
          <w:sz w:val="18"/>
        </w:rPr>
        <w:t xml:space="preserve">Stand: 10.06.2019 (konsolidierte Textfassung, kein amtliches Inkrafttretensdatum)</w:t>
      </w:r>
    </w:p>
    <w:p>
      <w:r>
        <w:t xml:space="preserve">Schuldet der Arbeitgeber oder ein sonstiger Zahlungspflichtiger Auslagen der Einzugsstelle, Gebühren, insbesondere Mahn- und Vollstreckungsgebühren sowie wie Gebühren zu behandelnde Entgelte für Rücklastschriften, Gesamtsozialversicherungsbeiträge zuzüglich der Zusatzbeiträge nach § 242 des Fünften Buches Sozialgesetzbuch, Säumniszuschläge, Zinsen, Geldbußen oder Zwangsgelder, kann er bei der Zahlung bestimmen, welche Schuld getilgt werden soll; der Arbeitgeber kann hinsichtlich der Beiträge bestimmen, dass vorrangig die Arbeitnehmeranteile getilgt werden sollen. Trifft der Arbeitgeber keine Bestimmung, werden die Schulden in der genannten Reihenfolge getilgt. Innerhalb der gleichen Schuldenart werden die einzelnen Schulden nach ihrer Fälligkeit, bei gleichzeitiger Fälligkeit anteilmäßig getilgt.</w:t>
      </w:r>
    </w:p>
    <w:p>
      <w:r>
        <w:rPr>
          <w:color w:val="555555"/>
          <w:sz w:val="17"/>
        </w:rPr>
        <w:t xml:space="preserve">Zitiervorschlag: § 4 BeitrVV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https://recht.nulegal.eu/gesetze/BeitrVV/4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