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BeitrVV — Tag der Zahlung, Zahlungsmittel</w:t>
      </w:r>
    </w:p>
    <w:p>
      <w:r>
        <w:rPr>
          <w:color w:val="555555"/>
          <w:sz w:val="18"/>
        </w:rPr>
        <w:t xml:space="preserve">Beitragsverfahrensverordnung</w:t>
      </w:r>
    </w:p>
    <w:p>
      <w:r>
        <w:rPr>
          <w:color w:val="555555"/>
          <w:sz w:val="18"/>
        </w:rPr>
        <w:t xml:space="preserve">Stand: 01.01.2025 (konsolidierte Textfassung, kein amtliches Inkrafttretensdatum)</w:t>
      </w:r>
    </w:p>
    <w:p>
      <w:r>
        <w:t xml:space="preserve">(1) Die Zahlungen der Arbeitgeber oder sonstiger Zahlungspflichtiger sind an die zuständige Einzugsstelle zu leisten. Als Tag der Zahlung gilt</w:t>
      </w:r>
    </w:p>
    <w:p>
      <w:pPr>
        <w:ind w:left="420"/>
      </w:pPr>
      <w:r>
        <w:t xml:space="preserve">1. bei Barzahlung der Tag des Geldeingangs,</w:t>
      </w:r>
    </w:p>
    <w:p>
      <w:pPr>
        <w:ind w:left="420"/>
      </w:pPr>
      <w:r>
        <w:t xml:space="preserve">2. bei Zahlung durch Scheck, bei Überweisung oder Einzahlung auf ein Konto der Einzugsstelle der Tag der Wertstellung zugunsten der Einzugsstelle,</w:t>
      </w:r>
    </w:p>
    <w:p>
      <w:pPr>
        <w:ind w:left="420"/>
      </w:pPr>
      <w:r>
        <w:t xml:space="preserve">3. bei Vorliegen einer Einzugsermächtigung der Tag der Fälligkeit.</w:t>
      </w:r>
    </w:p>
    <w:p>
      <w:r>
        <w:t xml:space="preserve">(2) Zahlungen in fremder Währung und durch Wechsel sind nicht zugelassen.</w:t>
      </w:r>
    </w:p>
    <w:p>
      <w:r>
        <w:t xml:space="preserve">(3) Die nach § 28e Abs. 1 Satz 2 des Vierten Buches Sozialgesetzbuch als gezahlt geltenden Beiträge sind auf einem bei den von der Beitragszahlung freigestellten Leistungsträgern zu führenden Sachbuchkonto bei den</w:t>
      </w:r>
    </w:p>
    <w:p>
      <w:pPr>
        <w:ind w:left="420"/>
      </w:pPr>
      <w:r>
        <w:t xml:space="preserve">1. Kranken- und Pflegekassen am Tag der Fälligkeit nach der Satzung,</w:t>
      </w:r>
    </w:p>
    <w:p>
      <w:pPr>
        <w:ind w:left="420"/>
      </w:pPr>
      <w:r>
        <w:t xml:space="preserve">2. Trägern der Rentenversicherung und der Bundesagentur für Arbeit am Tag der Fälligkeit in Einnahme zu buchen.</w:t>
      </w:r>
    </w:p>
    <w:p>
      <w:r>
        <w:t xml:space="preserve">Ist eine Krankenkasse der Arbeitgeber, ist der für die Pflegekasse bestimmte Anteil am Gesamtsozialversicherungsbeitrag auf dem entsprechenden Sachbuchkonto der Pflegekasse zu buchen.</w:t>
      </w:r>
    </w:p>
    <w:p>
      <w:r>
        <w:rPr>
          <w:color w:val="555555"/>
          <w:sz w:val="17"/>
        </w:rPr>
        <w:t xml:space="preserve">Zitiervorschlag: § 3 BeitrVV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https://recht.nulegal.eu/gesetze/BeitrVV/3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