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BeitrVV — Inhalt des Dateisystems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bei der Deutschen Rentenversicherung Bund maschinell geführte Dateisystem (§ 28p Abs. 8 Satz 1 des Vierten Buches Sozialgesetzbuch) enthält über jeden der Beitragsüberwachung unterliegenden Arbeitgeber die für die Übersichten nach § 28p Abs. 7 des Vierten Buches Sozialgesetzbuch erforderlichen Daten sowie folgende Angaben:</w:t>
      </w:r>
    </w:p>
    <w:p>
      <w:pPr>
        <w:ind w:left="420"/>
      </w:pPr>
      <w:r>
        <w:t xml:space="preserve">1. die Betriebsnummern und Gemeindeschlüssel der zu prüfenden Stellen (Beschäftigungsbetriebe des Arbeitgebers sowie andere Stellen, auf die sich die Prüfung nach § 28p Abs. 6 des Vierten Buches Sozialgesetzbuch erstreckt),</w:t>
      </w:r>
    </w:p>
    <w:p>
      <w:pPr>
        <w:ind w:left="420"/>
      </w:pPr>
      <w:r>
        <w:t xml:space="preserve">2. deren Namen, Anschriften, Telefon- und Telefaxanschluss, E-Mail-Adresse,</w:t>
      </w:r>
    </w:p>
    <w:p>
      <w:pPr>
        <w:ind w:left="420"/>
      </w:pPr>
      <w:r>
        <w:t xml:space="preserve">3. das Datum, bis zu dem der Arbeitgeber zuletzt geprüft wurde,</w:t>
      </w:r>
    </w:p>
    <w:p>
      <w:pPr>
        <w:ind w:left="420"/>
      </w:pPr>
      <w:r>
        <w:t xml:space="preserve">4. das Datum der geplanten nächsten Prüfung,</w:t>
      </w:r>
    </w:p>
    <w:p>
      <w:pPr>
        <w:ind w:left="420"/>
      </w:pPr>
      <w:r>
        <w:t xml:space="preserve">5. Angaben für besondere Behandlung:</w:t>
      </w:r>
    </w:p>
    <w:p>
      <w:pPr>
        <w:ind w:left="780"/>
      </w:pPr>
      <w:r>
        <w:t xml:space="preserve">5.1 Verlangen der zu prüfenden Stelle nach einem besonderen Prüfrhythmus,</w:t>
      </w:r>
    </w:p>
    <w:p>
      <w:pPr>
        <w:ind w:left="780"/>
      </w:pPr>
      <w:r>
        <w:t xml:space="preserve">5.2 Verlangen der Einzugsstellen nach alsbaldiger Prüfung und den Grund dafür,</w:t>
      </w:r>
    </w:p>
    <w:p>
      <w:pPr>
        <w:ind w:left="420"/>
      </w:pPr>
      <w:r>
        <w:t xml:space="preserve">6. die Bezeichnung der für Meldungen und Beitragsnachweise verwendeten EDV-Programme oder Ausfüllhilfen,</w:t>
      </w:r>
    </w:p>
    <w:p>
      <w:pPr>
        <w:ind w:left="420"/>
      </w:pPr>
      <w:r>
        <w:t xml:space="preserve">7. die Anzahl der pflichtversicherten Beschäftigten im Prüfzeitraum,</w:t>
      </w:r>
    </w:p>
    <w:p>
      <w:pPr>
        <w:ind w:left="420"/>
      </w:pPr>
      <w:r>
        <w:t xml:space="preserve">8. die Anzahl der geringfügig Beschäftigten im Prüfzeitraum,</w:t>
      </w:r>
    </w:p>
    <w:p>
      <w:pPr>
        <w:ind w:left="420"/>
      </w:pPr>
      <w:r>
        <w:t xml:space="preserve">9. die Bereichsnummer des für die Prüfung zuständigen Trägers der Rentenversicherung (§ 28p Abs. 2 Satz 2 des Vierten Buches Sozialgesetzbuch) sowie die Angabe "Trägerfirma einer Betriebskrankenkasse",</w:t>
      </w:r>
    </w:p>
    <w:p>
      <w:pPr>
        <w:ind w:left="420"/>
      </w:pPr>
      <w:r>
        <w:t xml:space="preserve">10. die Betriebsnummern anderer Arbeitgeber, für die der Arbeitgeber abrechnet,</w:t>
      </w:r>
    </w:p>
    <w:p>
      <w:pPr>
        <w:ind w:left="420"/>
      </w:pPr>
      <w:r>
        <w:t xml:space="preserve">11. den Wirtschaftszweig/die Branche des Arbeitgebers,</w:t>
      </w:r>
    </w:p>
    <w:p>
      <w:pPr>
        <w:ind w:left="420"/>
      </w:pPr>
      <w:r>
        <w:t xml:space="preserve">11a. die Wirtschafts-Identifikationsnummer (§ 139c der Abgabenordnung) des Arbeitgebers, sofern diese noch nicht zugeteilt wurde, die Steuernummer des Arbeitgebers, und das zuständige Finanzamt,</w:t>
      </w:r>
    </w:p>
    <w:p>
      <w:pPr>
        <w:ind w:left="420"/>
      </w:pPr>
      <w:r>
        <w:t xml:space="preserve">12. die Anzahl der aktuell Beschäftigten,</w:t>
      </w:r>
    </w:p>
    <w:p>
      <w:pPr>
        <w:ind w:left="420"/>
      </w:pPr>
      <w:r>
        <w:t xml:space="preserve">13. die Betriebsnummern der Einzugsstellen, an die Beiträge im Prüfzeitraum abzuführen waren,</w:t>
      </w:r>
    </w:p>
    <w:p>
      <w:pPr>
        <w:ind w:left="420"/>
      </w:pPr>
      <w:r>
        <w:t xml:space="preserve">14. den Inhalt der Bescheide nach § 28p Abs. 1 Satz 5 und Absatz 1a Satz 5 des Vierten Buches Sozialgesetzbuch und der Mitteilung an den Unfallversicherungsträger über die Prüfung nach § 166 Abs. 2 des Siebten Buches Sozialgesetzbuch,</w:t>
      </w:r>
    </w:p>
    <w:p>
      <w:pPr>
        <w:ind w:left="420"/>
      </w:pPr>
      <w:r>
        <w:t xml:space="preserve">15. aus den Mitteilungen der Behörden der Zollverwaltung über Prüfungen nach § 2 des Schwarzarbeitsbekämpfungsgesetzes:</w:t>
      </w:r>
    </w:p>
    <w:p>
      <w:pPr>
        <w:ind w:left="780"/>
      </w:pPr>
      <w:r>
        <w:t xml:space="preserve">1. Datum und Aufbewahrungsort der Mitteilung,</w:t>
      </w:r>
    </w:p>
    <w:p>
      <w:pPr>
        <w:ind w:left="780"/>
      </w:pPr>
      <w:r>
        <w:t xml:space="preserve">2. Name der meldenden Stelle,</w:t>
      </w:r>
    </w:p>
    <w:p>
      <w:pPr>
        <w:ind w:left="780"/>
      </w:pPr>
      <w:r>
        <w:t xml:space="preserve">3. aus dem Inhalt der Mitteilung:</w:t>
      </w:r>
    </w:p>
    <w:p>
      <w:pPr>
        <w:ind w:left="1140"/>
      </w:pPr>
      <w:r>
        <w:t xml:space="preserve">3.1 Meldepflichtverletzung (§ 28a des Vierten Buches Sozialgesetzbuch),</w:t>
      </w:r>
    </w:p>
    <w:p>
      <w:pPr>
        <w:ind w:left="1140"/>
      </w:pPr>
      <w:r>
        <w:t xml:space="preserve">3.2 fehlende Entgeltunterlagen,</w:t>
      </w:r>
    </w:p>
    <w:p>
      <w:pPr>
        <w:ind w:left="1140"/>
      </w:pPr>
      <w:r>
        <w:t xml:space="preserve">3.3 Verdacht der prüfenden Stelle auf Beitragshinterziehung, Verstöße gegen das Arbeitnehmer-Entsendegesetz,</w:t>
      </w:r>
    </w:p>
    <w:p>
      <w:pPr>
        <w:ind w:left="420"/>
      </w:pPr>
      <w:r>
        <w:t xml:space="preserve">16. Informationen über gegen frühere Bescheide eingelegte Rechtsbehelfe und Rechtsmittel sowie über sozialgerichtliche Verfahren,</w:t>
      </w:r>
    </w:p>
    <w:p>
      <w:pPr>
        <w:ind w:left="420"/>
      </w:pPr>
      <w:r>
        <w:t xml:space="preserve">17. die Angabe, dass der Arbeitgeber seine Bereitschaft zur Teilnahme an einer Sammel- oder Vorlageprüfung erklärt hat,</w:t>
      </w:r>
    </w:p>
    <w:p>
      <w:pPr>
        <w:ind w:left="420"/>
      </w:pPr>
      <w:r>
        <w:t xml:space="preserve">18. die Tatsache und der Grund der Nichteinsichtnahme in die Bescheide und Prüfberichte der Finanzbehörden,</w:t>
      </w:r>
    </w:p>
    <w:p>
      <w:pPr>
        <w:ind w:left="420"/>
      </w:pPr>
      <w:r>
        <w:t xml:space="preserve">19. die Angabe, dass Beschäftigte Entgeltzahlungen durch Dritte erhalten,</w:t>
      </w:r>
    </w:p>
    <w:p>
      <w:pPr>
        <w:ind w:left="420"/>
      </w:pPr>
      <w:r>
        <w:t xml:space="preserve">20. die Angabe, ob der Arbeitgeber hinsichtlich der Melde- und Abgabepflicht nach dem Künstlersozialversicherungsgesetz zu prüfen ist, sowie Informationen zum Verfahrensstand hinsichtlich der Melde- und Abgabepflicht nach dem Künstlersozialversicherungsgesetz,</w:t>
      </w:r>
    </w:p>
    <w:p>
      <w:pPr>
        <w:ind w:left="420"/>
      </w:pPr>
      <w:r>
        <w:t xml:space="preserve">21. die Angabe, dass der Arbeitgeber die Bestätigung nach § 28p Absatz 1b Satz 5 des Vierten Buches Sozialgesetzbuch abgegeben hat,</w:t>
      </w:r>
    </w:p>
    <w:p>
      <w:pPr>
        <w:ind w:left="420"/>
      </w:pPr>
      <w:r>
        <w:t xml:space="preserve">21a. den Bescheid des Rentenversicherungsträgers über die Befreiung des Arbeitgebers nach § 8 Absatz 3 Satz 2,</w:t>
      </w:r>
    </w:p>
    <w:p>
      <w:pPr>
        <w:ind w:left="420"/>
      </w:pPr>
      <w:r>
        <w:t xml:space="preserve">22. die Bußgeldbescheide, die nach § 111 Absatz 1 Nummer 2, 3 bis 3b und 8, nach § 111 Absatz 2 des Vierten Buches Sozialgesetzbuch und nach § 98 Absatz 5 des Zehnten Buches Sozialgesetzbuch erlassen wurden,</w:t>
      </w:r>
    </w:p>
    <w:p>
      <w:pPr>
        <w:ind w:left="420"/>
      </w:pPr>
      <w:r>
        <w:t xml:space="preserve">23. über die Befreiung der elektronischen Übermittlung nach § 126 des Vierten Buches Sozialgesetzbuch.</w:t>
      </w:r>
    </w:p>
    <w:p>
      <w:r>
        <w:t xml:space="preserve">(2) Die Angaben nach Absatz 1 dürfen nur von dem zuständigen Träger der Rentenversicherung und der Datenstelle der Rentenversicherung und für Abfragen nach § 28q Abs. 5 Satz 2 des Vierten Buches Sozialgesetzbuch verarbeitet werden.</w:t>
      </w:r>
    </w:p>
    <w:p>
      <w:r>
        <w:t xml:space="preserve">(3) Die Angaben nach Absatz 1 Nr. 1 und 2 und der Inhalt der Bescheide nach § 28p Abs. 1 Satz 5 des Vierten Buches Sozialgesetzbuch, soweit dieser nach Einzugsstellen gegliedert ist, dürfen für die Prüfungen nach § 28q Abs. 1 Satz 1 und 2 des Vierten Buches Sozialgesetzbuch verarbeitet werden.</w:t>
      </w:r>
    </w:p>
    <w:p>
      <w:r>
        <w:rPr>
          <w:color w:val="555555"/>
          <w:sz w:val="17"/>
        </w:rPr>
        <w:t xml:space="preserve">Zitiervorschlag: § 14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