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BeitrVV — Prüfung in den Räumen des Versicherungsträgers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Prüfung beim Versicherungsträger gelten § 7 Abs. 1, 2 Satz 1, Abs. 3 und 4 sowie die §§ 8 bis 11 entsprechend.</w:t>
      </w:r>
    </w:p>
    <w:p>
      <w:r>
        <w:t xml:space="preserve">(2) Entfällt das Wahlrecht des Arbeitgebers nach § 98 Abs. 1 Satz 4 des Zehnten Buches Sozialgesetzbuch, gelten die Vorschriften der §§ 7 bis 11.</w:t>
      </w:r>
    </w:p>
    <w:p>
      <w:r>
        <w:rPr>
          <w:color w:val="555555"/>
          <w:sz w:val="17"/>
        </w:rPr>
        <w:t xml:space="preserve">Zitiervorschlag: § 13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