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BeitrVV — Prüfung bei Steuerberatern oder bei anderen Stellen</w:t>
      </w:r>
    </w:p>
    <w:p>
      <w:r>
        <w:rPr>
          <w:color w:val="555555"/>
          <w:sz w:val="18"/>
        </w:rPr>
        <w:t xml:space="preserve">Beitragsverfahrensverordnung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Prüfung bei den in § 28p Abs. 6 des Vierten Buches Sozialgesetzbuch genannten Stellen gelten die §§ 7 bis 11, soweit sie solche Aufgaben vom Arbeitgeber übernommen haben, entsprechend. Beendet der Arbeitgeber die Beauftragung einer Stelle nach Satz 1 während der Prüfung, bleibt das Recht auf Prüfung für den zu prüfenden Zeitraum bestehen. Für die Übermittlung des Prüfberichtes an eine in Satz 1 genannte Stelle und an den Arbeitgeber gilt § 7 Absatz 4 Satz 1 bis 3 entsprechend. Das Recht auf Prüfung beim Arbeitgeber oder in den Räumen des Versicherungsträgers bleibt unberührt.</w:t>
      </w:r>
    </w:p>
    <w:p>
      <w:r>
        <w:rPr>
          <w:color w:val="555555"/>
          <w:sz w:val="17"/>
        </w:rPr>
        <w:t xml:space="preserve">Zitiervorschlag: § 12 BeitrVV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https://recht.nulegal.eu/gesetze/BeitrVV/12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