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BeitrVV — Umfang</w:t>
      </w:r>
    </w:p>
    <w:p>
      <w:r>
        <w:rPr>
          <w:color w:val="555555"/>
          <w:sz w:val="18"/>
        </w:rPr>
        <w:t xml:space="preserve">Beitragsverfahrensverordnung</w:t>
      </w:r>
    </w:p>
    <w:p>
      <w:r>
        <w:rPr>
          <w:color w:val="555555"/>
          <w:sz w:val="18"/>
        </w:rPr>
        <w:t xml:space="preserve">Stand: 10.06.2019 (konsolidierte Textfassung, kein amtliches Inkrafttretensdatum)</w:t>
      </w:r>
    </w:p>
    <w:p>
      <w:r>
        <w:t xml:space="preserve">(1) Die Prüfung der Aufzeichnungen nach den §§ 8 und 9 kann auf Stichproben beschränkt werden. Die für eine Prüfung verlangten Unterlagen nach § 8 Abs. 2 und § 9 sind unverzüglich vorzulegen oder als lesbare Reproduktionen herzustellen.</w:t>
      </w:r>
    </w:p>
    <w:p>
      <w:r>
        <w:t xml:space="preserve">(2) Die Prüfung kann sich beim Arbeitgeber über den Bereich der Entgeltabrechnung jedoch nicht über den Bereich des Rechnungswesens hinaus erstrecken. Der Arbeitgeber hat Unterlagen, die der Aufgabenerfüllung der Prüfung dienen, insbesondere zur Klärung, ob ein versicherungs- oder beitragspflichtiges Beschäftigungsverhältnis vorliegt oder nicht, auf Verlangen vorzulegen.</w:t>
      </w:r>
    </w:p>
    <w:p>
      <w:r>
        <w:rPr>
          <w:color w:val="555555"/>
          <w:sz w:val="17"/>
        </w:rPr>
        <w:t xml:space="preserve">Zitiervorschlag: § 11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