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BeitrVV — Berechnungsgrundsätze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Gesamtsozialversicherungsbeitrag und die Beitragsbemessungsgrenzen werden je Kalendermonat für die Kalendertage berechnet, an denen eine versicherungspflichtige Beschäftigung besteht (Sozialversicherungstage); ein voller Kalendermonat wird mit 30 Sozialversicherungstagen angesetzt. Berechnungsbasis ist das aus der Beschäftigung erzielte Arbeitsentgelt bis zur monatlichen Beitragsbemessungsgrenze.</w:t>
      </w:r>
    </w:p>
    <w:p>
      <w:r>
        <w:t xml:space="preserve">(2) Die Rechengänge werden ohne Rundung der einzelnen Zwischenergebnisse durchgeführt. Das Gesamtergebnis wird auf zwei Dezimalstellen berechnet; die zweite Dezimalstelle wird um 1 erhöht, wenn sich in der dritten Dezimalstelle eine der Zahlen 5 bis 9 ergibt.</w:t>
      </w:r>
    </w:p>
    <w:p>
      <w:r>
        <w:rPr>
          <w:color w:val="555555"/>
          <w:sz w:val="17"/>
        </w:rPr>
        <w:t xml:space="preserve">Zitiervorschlag: § 1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