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BeitrLV 2006</w:t>
      </w:r>
    </w:p>
    <w:p>
      <w:r>
        <w:rPr>
          <w:color w:val="555555"/>
          <w:sz w:val="18"/>
        </w:rPr>
        <w:t xml:space="preserve">Beitragsverordnung Landwirtschaft 2006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35 Abs. 1 und des § 69 in Verbindung mit § 68 sowie auf Grund des § 120 des Gesetzes über die Alterssicherung der Landwirte vom 29. Juli 1994 (BGBl. I S. 1890, 1891), von denen § 69 zuletzt durch Artikel 48 Nr. 5 des Gesetzes vom 21. Dezember 2000 (BGBl. I S. 1983) geändert und § 68 zuletzt durch Artikel 46 Nr. 1 des Gesetzes vom 9. Dezember 2004 (BGBl. I S. 3242) geändert worden sind, verordnet die Bundesregierung:</w:t>
      </w:r>
    </w:p>
    <w:p>
      <w:r>
        <w:rPr>
          <w:color w:val="555555"/>
          <w:sz w:val="17"/>
        </w:rPr>
        <w:t xml:space="preserve">Zitiervorschlag: Eingangsformel BeitrLV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https://recht.nulegal.eu/gesetze/BeitrLV%202006/eingangsformel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