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BeitrLV 2006 — Inkrafttreten</w:t>
      </w:r>
    </w:p>
    <w:p>
      <w:r>
        <w:rPr>
          <w:color w:val="555555"/>
          <w:sz w:val="18"/>
        </w:rPr>
        <w:t xml:space="preserve">Beitragsverordnung Landwirtschaft 2006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2006 in Kraft.</w:t>
      </w:r>
    </w:p>
    <w:p>
      <w:r>
        <w:rPr>
          <w:color w:val="555555"/>
          <w:sz w:val="17"/>
        </w:rPr>
        <w:t xml:space="preserve">Zitiervorschlag: § 3 BeitrLV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https://recht.nulegal.eu/gesetze/BeitrLV%202006/3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