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BeitrLV 2005</w:t>
      </w:r>
    </w:p>
    <w:p>
      <w:r>
        <w:rPr>
          <w:color w:val="555555"/>
          <w:sz w:val="18"/>
        </w:rPr>
        <w:t xml:space="preserve">Beitragsverordnung Landwirtschaft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und des § 69 in Verbindung mit § 68 sowie auf Grund des § 120 des Gesetzes über die Alterssicherung der Landwirte vom 29. Juli 1994 (BGBl. I S. 1890, 1891), von denen § 69 zuletzt durch Artikel 48 Nr. 5 geändert und § 68 durch Artikel 48 Nr. 4 des Gesetzes vom 21. Dezember 2000 (BGBl. I S. 1983) neu gefasst worden sind, verordnet die Bundesregierung:</w:t>
      </w:r>
    </w:p>
    <w:p>
      <w:r>
        <w:rPr>
          <w:color w:val="555555"/>
          <w:sz w:val="17"/>
        </w:rPr>
        <w:t xml:space="preserve">Zitiervorschlag: Eingangsformel BeitrLV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https://recht.nulegal.eu/gesetze/BeitrLV%202005/eingangsformel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