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BeitrEntlKrG — Beitragsfestschreibung</w:t>
      </w:r>
    </w:p>
    <w:p>
      <w:r>
        <w:rPr>
          <w:color w:val="555555"/>
          <w:sz w:val="18"/>
        </w:rPr>
        <w:t xml:space="preserve">Gesetz zur Beitragsentlastung der gesetzlichen Krankenversicherung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Bis zum 31. Dezember 1996 sind Beitragssatzanhebungen der Krankenkassen (§ 4 des Fünften Buches Sozialgesetzbuch) nur zulässig, wenn die dafür erforderlichen Satzungsänderungen vor dem 10. Mai 1996 genehmigt worden sind. Eine hiervon abweichende Satzungsänderung ist unwirksam. § 220 Abs. 2 sowie die §§ 221, 222 des Fünften Buches Sozialgesetzbuch sind in dem in Satz 1 genannten Zeitraum nicht anzuwenden.</w:t>
      </w:r>
    </w:p>
    <w:p>
      <w:r>
        <w:t xml:space="preserve">(2) Absatz 1 gilt für Beiträge, die in Beitragsklassen festgesetzt werden, entsprechend.</w:t>
      </w:r>
    </w:p>
    <w:p>
      <w:r>
        <w:t xml:space="preserve">(3) Die Absätze 1 und 2 gelten nicht, soweit allein durch Veränderungen der Verpflichtungen oder Ansprüche im Risikostrukturausgleich Beitragssatzanhebungen zwingend erforderlich sind.</w:t>
      </w:r>
    </w:p>
    <w:p>
      <w:r>
        <w:rPr>
          <w:color w:val="555555"/>
          <w:sz w:val="17"/>
        </w:rPr>
        <w:t xml:space="preserve">Zitiervorschlag: § 1 BeitrEntlKrG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https://recht.nulegal.eu/gesetze/BeitrEntlKrG/1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