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BeitrEntlG — Anpassung laufender Krankengeldzahlungen</w:t>
      </w:r>
    </w:p>
    <w:p>
      <w:r>
        <w:rPr>
          <w:color w:val="555555"/>
          <w:sz w:val="18"/>
        </w:rPr>
        <w:t xml:space="preserve">Beitragsentlastungsgesetz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47 des Fünften Buches Sozialgesetzbuch in der ab 1. Januar 1997 geltenden Fassung ist vom Inkrafttreten dieses Gesetzes an auch auf Krankengeldzahlungen anzuwenden, die vor dem 1. Januar 1997 begonnen haben.</w:t>
      </w:r>
    </w:p>
    <w:p>
      <w:r>
        <w:rPr>
          <w:color w:val="555555"/>
          <w:sz w:val="17"/>
        </w:rPr>
        <w:t xml:space="preserve">Zitiervorschlag: § 2 BeitrEntlG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https://recht.nulegal.eu/gesetze/BeitrEntlG/2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