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BeiSaV 2019</w:t>
      </w:r>
    </w:p>
    <w:p>
      <w:r>
        <w:rPr>
          <w:color w:val="555555"/>
          <w:sz w:val="18"/>
        </w:rPr>
        <w:t xml:space="preserve">Beitragssatzverordnung 2019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Auf Grund des § 352 Absatz 1 des Dritten Buches Sozialgesetzbuch – Arbeitsförderung –, der zuletzt durch Artikel 1 Nummer 211 Buchstabe a des Gesetzes vom 23. Dezember 2003 (BGBl. I S. 2848) geändert worden ist, verordnet die Bundesregierung:</w:t>
      </w:r>
    </w:p>
    <w:p>
      <w:r>
        <w:rPr>
          <w:color w:val="555555"/>
          <w:sz w:val="17"/>
        </w:rPr>
        <w:t xml:space="preserve">Zitiervorschlag: Eingangsformel BeiSaV 2019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https://recht.nulegal.eu/gesetze/BeiSaV%202019/eingangsformel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BeiSaV 2019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