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BeherbStatG 2003 — Verordnungsermächtigung</w:t>
      </w:r>
    </w:p>
    <w:p>
      <w:r>
        <w:rPr>
          <w:color w:val="555555"/>
          <w:sz w:val="18"/>
        </w:rPr>
        <w:t xml:space="preserve">Beherbergungsstatistikgesetz</w:t>
      </w:r>
    </w:p>
    <w:p>
      <w:r>
        <w:rPr>
          <w:color w:val="555555"/>
          <w:sz w:val="18"/>
        </w:rPr>
        <w:t xml:space="preserve">Stand: 10.06.2019 (konsolidierte Textfassung, kein amtliches Inkrafttretensdatum)</w:t>
      </w:r>
    </w:p>
    <w:p>
      <w:r>
        <w:t xml:space="preserve">Die Bundesregierung wird ermächtigt, durch Rechtsverordnung mit Zustimmung des Bundesrates</w:t>
      </w:r>
    </w:p>
    <w:p>
      <w:pPr>
        <w:ind w:left="420"/>
      </w:pPr>
      <w:r>
        <w:t xml:space="preserve">1. die Erhebung einzelner Erhebungsmerkmale auszusetzen, die Periodizitäten zu verlängern sowie die Untergliederung von Erhebungsmerkmalen und den Kreis der zu Befragenden einzuschränken;</w:t>
      </w:r>
    </w:p>
    <w:p>
      <w:pPr>
        <w:ind w:left="420"/>
      </w:pPr>
      <w:r>
        <w:t xml:space="preserve">2. einzelne neue Erhebungsmerkmale einzuführen, wenn dies zum Zweck dieses Gesetzes erforderlich ist und es sich nicht um personenbezogene Daten handelt; werden Erhebungsmerkmale eingeführt, die nicht zur Erfüllung von Berichtspflichten nach dem Recht der Europäischen Gemeinschaften erforderlich sind, so ist durch die gleichzeitige Aussetzung der Erhebung anderer Erhebungsmerkmale eine Erweiterung des Erhebungsumfangs zu vermeiden.</w:t>
      </w:r>
    </w:p>
    <w:p>
      <w:r>
        <w:rPr>
          <w:color w:val="555555"/>
          <w:sz w:val="17"/>
        </w:rPr>
        <w:t xml:space="preserve">Zitiervorschlag: § 8 BeherbStatG 2003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https://recht.nulegal.eu/gesetze/BeherbStatG%202003/8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