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BeherbStatG 2003 — Übermittlungsregelung</w:t>
      </w:r>
    </w:p>
    <w:p>
      <w:r>
        <w:rPr>
          <w:color w:val="555555"/>
          <w:sz w:val="18"/>
        </w:rPr>
        <w:t xml:space="preserve">Beherbergungsstatistikgesetz</w:t>
      </w:r>
    </w:p>
    <w:p>
      <w:r>
        <w:rPr>
          <w:color w:val="555555"/>
          <w:sz w:val="18"/>
        </w:rPr>
        <w:t xml:space="preserve">Stand: 10.06.2019 (konsolidierte Textfassung, kein amtliches Inkrafttretensdatum)</w:t>
      </w:r>
    </w:p>
    <w:p>
      <w:r>
        <w:t xml:space="preserve">An die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rPr>
          <w:color w:val="555555"/>
          <w:sz w:val="17"/>
        </w:rPr>
        <w:t xml:space="preserve">Zitiervorschlag: § 7 BeherbStatG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https://recht.nulegal.eu/gesetze/BeherbStatG%202003/7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