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BeherbStatG 2003 — Hilfsmerkmale</w:t>
      </w:r>
    </w:p>
    <w:p>
      <w:r>
        <w:rPr>
          <w:color w:val="555555"/>
          <w:sz w:val="18"/>
        </w:rPr>
        <w:t xml:space="preserve">Beherbergungsstatistikgesetz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Name und Anschrift des Beherbergungsbetriebs,</w:t>
      </w:r>
    </w:p>
    <w:p>
      <w:pPr>
        <w:ind w:left="420"/>
      </w:pPr>
      <w:r>
        <w:t xml:space="preserve">2. Name, Rufnummern und Adressen für elektronische Post der Personen, die für Rückfragen zur Verfügung stehen.</w:t>
      </w:r>
    </w:p>
    <w:p>
      <w:r>
        <w:rPr>
          <w:color w:val="555555"/>
          <w:sz w:val="17"/>
        </w:rPr>
        <w:t xml:space="preserve">Zitiervorschlag: § 5 BeherbStatG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https://recht.nulegal.eu/gesetze/BeherbStatG%202003/5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