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BeherbStatG 2003 — Periodizität, Berichtszeitraum</w:t>
      </w:r>
    </w:p>
    <w:p>
      <w:r>
        <w:rPr>
          <w:color w:val="555555"/>
          <w:sz w:val="18"/>
        </w:rPr>
        <w:t xml:space="preserve">Beherbergungsstatistikgesetz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Erhebungen werden monatlich, beginnend für den Berichtsmonat Januar 2012, durchgeführt. Die Zahl der Gästezimmer nach § 4 Nummer 4 ist nur jährlich zu erheben.</w:t>
      </w:r>
    </w:p>
    <w:p>
      <w:r>
        <w:t xml:space="preserve">(2) Berichtszeitraum für die monatliche Erhebung ist der dem Zeitpunkt der Erhebung vorangegangene Kalendermonat. Stichtag für die jährliche Erhebung ist der 31. Juli.</w:t>
      </w:r>
    </w:p>
    <w:p>
      <w:r>
        <w:rPr>
          <w:color w:val="555555"/>
          <w:sz w:val="17"/>
        </w:rPr>
        <w:t xml:space="preserve">Zitiervorschlag: § 2 BeherbStatG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https://recht.nulegal.eu/gesetze/BeherbStatG%202003/2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