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BeherbMeldV — Bereitstellung der Daten</w:t>
      </w:r>
    </w:p>
    <w:p>
      <w:r>
        <w:rPr>
          <w:color w:val="555555"/>
          <w:sz w:val="18"/>
        </w:rPr>
        <w:t xml:space="preserve">Beherbergungsmeldedatenverordnung</w:t>
      </w:r>
    </w:p>
    <w:p>
      <w:r>
        <w:rPr>
          <w:color w:val="555555"/>
          <w:sz w:val="18"/>
        </w:rPr>
        <w:t xml:space="preserve">Stand: 18.06.2020 (konsolidierte Textfassung, kein amtliches Inkrafttretensdatum)</w:t>
      </w:r>
    </w:p>
    <w:p>
      <w:r>
        <w:t xml:space="preserve">Verlangt eine nach § 30 Absatz 4 Satz 3 des Bundesmeldegesetzes berechtigte Behörde gespeicherte Dateien, so hat der Leiter der Beherbergungsstätte oder der Einrichtung die Datensätze entsprechend den Anforderungen des § 2 zur Einsichtnahme bereitzustellen und eine Übertragung auf Datenträger oder Speichersysteme zu ermöglichen.</w:t>
      </w:r>
    </w:p>
    <w:p>
      <w:r>
        <w:rPr>
          <w:color w:val="555555"/>
          <w:sz w:val="17"/>
        </w:rPr>
        <w:t xml:space="preserve">Zitiervorschlag: § 3 BeherbMeldV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https://recht.nulegal.eu/gesetze/BeherbMeldV/3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