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BeherbMeldV — Dateispezifische Anforderungen</w:t>
      </w:r>
    </w:p>
    <w:p>
      <w:r>
        <w:rPr>
          <w:color w:val="555555"/>
          <w:sz w:val="18"/>
        </w:rPr>
        <w:t xml:space="preserve">Beherbergungsmeldedatenverordnung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in § 1 genannten Leiter der Beherbergungsstätten oder der Einrichtungen haben zu jeder beherbergten ausländischen Person nach § 29 Absatz 2 des Bundesmeldegesetzes einen Datensatz vollständig am Tag der Ankunft zu speichern.</w:t>
      </w:r>
    </w:p>
    <w:p>
      <w:r>
        <w:t xml:space="preserve">(2) Die Daten sind als strukturierter maschinenlesbarer Datensatz im Dateiformat der Extensible Markup Language (XML) zu speichern. Die Daten sind im UNICODE-Zeichensatz UTF 8 zu codieren. Das Bundesministerium des Innern und für Heimat gibt die Struktur des XML-Dokumentes als XML-Schema-Definition (XSD) im Bundesanzeiger bekannt.</w:t>
      </w:r>
    </w:p>
    <w:p>
      <w:r>
        <w:t xml:space="preserve">(3) Die Datei ist nach dem Muster „JJJJMMTT_BeherbMeldeschein_Zaehler.xml“ zu benennen. Dabei ist einzusetzen:</w:t>
      </w:r>
    </w:p>
    <w:p>
      <w:pPr>
        <w:ind w:left="420"/>
      </w:pPr>
      <w:r>
        <w:t xml:space="preserve">1. bei „JJJJ“ das Jahr des ersten Beherbergungstags mit vier Ziffern,</w:t>
      </w:r>
    </w:p>
    <w:p>
      <w:pPr>
        <w:ind w:left="420"/>
      </w:pPr>
      <w:r>
        <w:t xml:space="preserve">2. bei „MM“ der Monat des ersten Beherbergungstags mit zwei Ziffern,</w:t>
      </w:r>
    </w:p>
    <w:p>
      <w:pPr>
        <w:ind w:left="420"/>
      </w:pPr>
      <w:r>
        <w:t xml:space="preserve">3. bei „TT“ der Kalendertag des ersten Beherbergungstags mit zwei Ziffern und</w:t>
      </w:r>
    </w:p>
    <w:p>
      <w:pPr>
        <w:ind w:left="420"/>
      </w:pPr>
      <w:r>
        <w:t xml:space="preserve">4. bei „Zaehler“ eine fortlaufende Nummerierung der Datensätze eines Tages beginnend mit der Zahl 1.</w:t>
      </w:r>
    </w:p>
    <w:p>
      <w:r>
        <w:t xml:space="preserve">(4) Die Datensätze sind sortiert in Ordnerstrukturen nach Jahren und Monaten wie in Absatz 3 Nummer 1 und 2 bestimmt zu speichern.</w:t>
      </w:r>
    </w:p>
    <w:p>
      <w:r>
        <w:t xml:space="preserve">(5) In jedem Datensatz sind die zu erhebenden Daten nach der Anlage zu dieser Verordnung zu speichern.</w:t>
      </w:r>
    </w:p>
    <w:p>
      <w:r>
        <w:t xml:space="preserve">(6) Landesrechtliche Vorgaben zur Ausführung des Bundesmeldegesetzes bleiben unberührt.</w:t>
      </w:r>
    </w:p>
    <w:p>
      <w:r>
        <w:rPr>
          <w:color w:val="555555"/>
          <w:sz w:val="17"/>
        </w:rPr>
        <w:t xml:space="preserve">Zitiervorschlag: § 2 BeherbMeldV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https://recht.nulegal.eu/gesetze/BeherbMeldV/2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