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BehAppbAusbV — Inhalt von Teil 2</w:t>
      </w:r>
    </w:p>
    <w:p>
      <w:r>
        <w:rPr>
          <w:color w:val="555555"/>
          <w:sz w:val="18"/>
        </w:rPr>
        <w:t xml:space="preserve">Behälter- und Apparatebauerausbildungsverordnung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Gesellenprüfung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Gesellenprüfung sollen Fertigkeiten, Kenntnisse und Fähigkeiten, die bereits Gegenstand von Teil 1 der Gesellenprüfung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9 BehAppbAusbV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https://recht.nulegal.eu/gesetze/BehAppbAusbV/9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