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BehAppbAusbV — Prüfungsbereich Rohrleitungsbau</w:t>
      </w:r>
    </w:p>
    <w:p>
      <w:r>
        <w:rPr>
          <w:color w:val="555555"/>
          <w:sz w:val="18"/>
        </w:rPr>
        <w:t xml:space="preserve">Behälter- und Apparatebauerausbildungsverordnung</w:t>
      </w:r>
    </w:p>
    <w:p>
      <w:r>
        <w:rPr>
          <w:color w:val="555555"/>
          <w:sz w:val="18"/>
        </w:rPr>
        <w:t xml:space="preserve">Stand: 10.06.2019 (konsolidierte Textfassung, kein amtliches Inkrafttretensdatum)</w:t>
      </w:r>
    </w:p>
    <w:p>
      <w:r>
        <w:t xml:space="preserve">(1) Teil 1 der Gesellenprüfung findet im Prüfungsbereich Rohrleitungsbau statt.</w:t>
      </w:r>
    </w:p>
    <w:p>
      <w:r>
        <w:t xml:space="preserve">(2) Im Prüfungsbereich Rohrleitungsbau soll der Prüfling nachweisen, dass er in der Lage ist,</w:t>
      </w:r>
    </w:p>
    <w:p>
      <w:pPr>
        <w:ind w:left="420"/>
      </w:pPr>
      <w:r>
        <w:t xml:space="preserve">1. technische Zeichnungen auszuwerten, Arbeitsschritte zu planen, Berechnungen durchzuführen und Arbeitsmittel festzulegen,</w:t>
      </w:r>
    </w:p>
    <w:p>
      <w:pPr>
        <w:ind w:left="420"/>
      </w:pPr>
      <w:r>
        <w:t xml:space="preserve">2. Halbzeuge manuell und maschinell auftragsbezogen zu bearbeiten,</w:t>
      </w:r>
    </w:p>
    <w:p>
      <w:pPr>
        <w:ind w:left="420"/>
      </w:pPr>
      <w:r>
        <w:t xml:space="preserve">3. Arbeitssicherheit und Gesundheitsschutz einzuhalten,</w:t>
      </w:r>
    </w:p>
    <w:p>
      <w:pPr>
        <w:ind w:left="420"/>
      </w:pPr>
      <w:r>
        <w:t xml:space="preserve">4. Fügeverbindungen vorzubereiten und herzustellen und</w:t>
      </w:r>
    </w:p>
    <w:p>
      <w:pPr>
        <w:ind w:left="420"/>
      </w:pPr>
      <w:r>
        <w:t xml:space="preserve">5. Mess- und Prüfprotokolle anzufertigen.</w:t>
      </w:r>
    </w:p>
    <w:p>
      <w:r>
        <w:t xml:space="preserve">(3) Für den Nachweis nach Absatz 2 sind folgende Tätigkeiten zugrunde zu legen:</w:t>
      </w:r>
    </w:p>
    <w:p>
      <w:pPr>
        <w:ind w:left="420"/>
      </w:pPr>
      <w:r>
        <w:t xml:space="preserve">1. Herstellung einer Konsole und</w:t>
      </w:r>
    </w:p>
    <w:p>
      <w:pPr>
        <w:ind w:left="420"/>
      </w:pPr>
      <w:r>
        <w:t xml:space="preserve">2. Herstellung eines Rohrleitungsabschnitts.</w:t>
      </w:r>
    </w:p>
    <w:p>
      <w:r>
        <w:t xml:space="preserve">(4) Der Prüfling soll eine Arbeitsprobe durchführen und mit praxisbezogenen Unterlagen dokumentieren. Während der Durchführung wird mit ihm ein situatives Fachgespräch geführt. Das Fachgespräch kann aus mehreren Gesprächsphasen bestehen. Weiterhin soll der Prüfling Aufgaben, die sich auf die Arbeitsprobe beziehen, schriftlich bearbeiten.</w:t>
      </w:r>
    </w:p>
    <w:p>
      <w:r>
        <w:t xml:space="preserve">(5) Die Prüfungszeit beträgt insgesamt sieben Stunden. Das situative Fachgespräch dauert insgesamt höchstens 10 Minuten und die schriftliche Bearbeitung der Aufgaben 60 Minuten.</w:t>
      </w:r>
    </w:p>
    <w:p>
      <w:r>
        <w:rPr>
          <w:color w:val="555555"/>
          <w:sz w:val="17"/>
        </w:rPr>
        <w:t xml:space="preserve">Zitiervorschlag: § 8 BehAppbAusbV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https://recht.nulegal.eu/gesetze/BehAppbAusbV/8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