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BehAppbAusbV — Ziel, Aufteilung in zwei Teile und Zeitpunkte</w:t>
      </w:r>
    </w:p>
    <w:p>
      <w:r>
        <w:rPr>
          <w:color w:val="555555"/>
          <w:sz w:val="18"/>
        </w:rPr>
        <w:t xml:space="preserve">Behälter- und Apparatebauerausbildungsverordnung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Gesellenprüfung ist festzustellen, ob der Prüfling die berufliche Handlungsfähigkeit erworben hat.</w:t>
      </w:r>
    </w:p>
    <w:p>
      <w:r>
        <w:t xml:space="preserve">(2) Die Gesellenprüfung besteht aus den Teilen 1 und 2.</w:t>
      </w:r>
    </w:p>
    <w:p>
      <w:r>
        <w:t xml:space="preserve">(3) Teil 1 soll vor dem Ende des zweiten Ausbildungsjahres durchgeführt werden, Teil 2 am Ende der Berufsausbildung.</w:t>
      </w:r>
    </w:p>
    <w:p>
      <w:r>
        <w:rPr>
          <w:color w:val="555555"/>
          <w:sz w:val="17"/>
        </w:rPr>
        <w:t xml:space="preserve">Zitiervorschlag: § 6 BehAppbAusbV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https://recht.nulegal.eu/gesetze/BehAppbAusbV/6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