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BehAppbAusbV — Inkrafttreten, Außerkrafttreten</w:t>
      </w:r>
    </w:p>
    <w:p>
      <w:r>
        <w:rPr>
          <w:color w:val="555555"/>
          <w:sz w:val="18"/>
        </w:rPr>
        <w:t xml:space="preserve">Behälter- und Apparatebauerausbildungsverordnung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2018 in Kraft. Gleichzeitig tritt die Behälter- und Apparatebauer-Ausbildungsverordnung vom 21. März 1989 (BGBl. I S. 520), die durch Artikel 1 der Verordnung vom 7. Juli 1998 (BGBl. I S. 1805) geändert worden ist, außer Kraft.</w:t>
      </w:r>
    </w:p>
    <w:p>
      <w:r>
        <w:rPr>
          <w:color w:val="555555"/>
          <w:sz w:val="17"/>
        </w:rPr>
        <w:t xml:space="preserve">Zitiervorschlag: § 17 BehAppbAusbV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https://recht.nulegal.eu/gesetze/BehAppbAusbV/17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