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BehAppbAusbV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Rohrleitungsbau mit    25 Prozent,</w:t>
      </w:r>
    </w:p>
    <w:p>
      <w:r>
        <w:rPr>
          <w:rFonts w:ascii="Courier New" w:hAnsi="Courier New"/>
          <w:sz w:val="17"/>
        </w:rPr>
        <w:t xml:space="preserve">Behälterbau mit    35 Prozent,</w:t>
      </w:r>
    </w:p>
    <w:p>
      <w:r>
        <w:rPr>
          <w:rFonts w:ascii="Courier New" w:hAnsi="Courier New"/>
          <w:sz w:val="17"/>
        </w:rPr>
        <w:t xml:space="preserve">Anlagentechnik mit    15 Prozent,</w:t>
      </w:r>
    </w:p>
    <w:p>
      <w:r>
        <w:rPr>
          <w:rFonts w:ascii="Courier New" w:hAnsi="Courier New"/>
          <w:sz w:val="17"/>
        </w:rPr>
        <w:t xml:space="preserve">Instandhaltung mit    15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Behälterbau mit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„Anlagentechnik“, „Instandhaltung“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15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