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BehAppbAusbV — Staatliche Anerkennung des Ausbildungsberufes</w:t>
      </w:r>
    </w:p>
    <w:p>
      <w:r>
        <w:rPr>
          <w:color w:val="555555"/>
          <w:sz w:val="18"/>
        </w:rPr>
        <w:t xml:space="preserve">Behälter- und Apparatebauerausbildungsverordnung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Behälter- und Apparatebauers und der Behälter- und Apparatebauerin wird nach § 25 der Handwerksordnung zur Ausbildung für das Gewerbe nach Anlage B Abschnitt 1 Nummer 4 „Behälter- und Apparatebauer“ der Handwerksordnung staatlich anerkannt.</w:t>
      </w:r>
    </w:p>
    <w:p>
      <w:r>
        <w:rPr>
          <w:color w:val="555555"/>
          <w:sz w:val="17"/>
        </w:rPr>
        <w:t xml:space="preserve">Zitiervorschlag: § 1 BehAppbAusbV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https://recht.nulegal.eu/gesetze/BehAppbAusbV/1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