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BehAppMstrV — Ziel und Gliederung des Teils I</w:t>
      </w:r>
    </w:p>
    <w:p>
      <w:r>
        <w:rPr>
          <w:color w:val="555555"/>
          <w:sz w:val="18"/>
        </w:rPr>
        <w:t xml:space="preserve">Behälter- und Apparatebauermeisterverordnung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(1) Durch die Prüfung in Teil I hat der Prüfling seine berufliche Handlungskompetenz dadurch nachzuweisen, dass er komplexe berufliche Aufgabenstellungen lösen und dabei wesentliche Tätigkeiten des Behälter- und Apparatebauer-Handwerks meisterhaft verrichten kann.</w:t>
      </w:r>
    </w:p>
    <w:p>
      <w:r>
        <w:t xml:space="preserve">(2) 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 und</w:t>
      </w:r>
    </w:p>
    <w:p>
      <w:pPr>
        <w:ind w:left="420"/>
      </w:pPr>
      <w:r>
        <w:t xml:space="preserve">2. eine Situationsaufgabe.</w:t>
      </w:r>
    </w:p>
    <w:p>
      <w:r>
        <w:rPr>
          <w:color w:val="555555"/>
          <w:sz w:val="17"/>
        </w:rPr>
        <w:t xml:space="preserve">Zitiervorschlag: § 3 BehAppMstrV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