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BehAppMstrV — Übergangsvorschrift</w:t>
      </w:r>
    </w:p>
    <w:p>
      <w:r>
        <w:rPr>
          <w:color w:val="555555"/>
          <w:sz w:val="18"/>
        </w:rPr>
        <w:t xml:space="preserve">Behälter- und Apparatebauermeisterverordnung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Ein Prüfungsverfahren, das vor Ablauf des 13. Februar 2020 begonnen worden ist, ist nach den bis zum Ablauf dieses Tages geltenden Vorschriften durch den nach § 47 der Handwerksordnung errichteten Meisterprüfungsausschuss fortzuführen.</w:t>
      </w:r>
    </w:p>
    <w:p>
      <w:r>
        <w:rPr>
          <w:color w:val="555555"/>
          <w:sz w:val="17"/>
        </w:rPr>
        <w:t xml:space="preserve">Zitiervorschlag: § 11 BehAppMstrV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