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BehAktÜbV — Inkrafttreten</w:t>
      </w:r>
    </w:p>
    <w:p>
      <w:r>
        <w:rPr>
          <w:color w:val="555555"/>
          <w:sz w:val="18"/>
        </w:rPr>
        <w:t xml:space="preserve">Behördenaktenübermittlungsverordnung</w:t>
      </w:r>
    </w:p>
    <w:p>
      <w:r>
        <w:rPr>
          <w:color w:val="555555"/>
          <w:sz w:val="18"/>
        </w:rPr>
        <w:t xml:space="preserve">Stand: 06.05.2025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BehAktÜbV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https://recht.nulegal.eu/gesetze/BehAkt%C3%9CbV/5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