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BehAktÜbV — Anwendungsbereich</w:t>
      </w:r>
    </w:p>
    <w:p>
      <w:r>
        <w:rPr>
          <w:color w:val="555555"/>
          <w:sz w:val="18"/>
        </w:rPr>
        <w:t xml:space="preserve">Behördenaktenübermittlungsverordnung</w:t>
      </w:r>
    </w:p>
    <w:p>
      <w:r>
        <w:rPr>
          <w:color w:val="555555"/>
          <w:sz w:val="18"/>
        </w:rPr>
        <w:t xml:space="preserve">Stand: 06.05.2025 (konsolidierte Textfassung, kein amtliches Inkrafttretensdatum)</w:t>
      </w:r>
    </w:p>
    <w:p>
      <w:r>
        <w:t xml:space="preserve">Diese Verordnung ist in zivil-, arbeits-, verwaltungs-, sozial- und finanzgerichtlichen Verfahren sowie in Verfahren in Familiensachen und in den Angelegenheiten der freiwilligen Gerichtsbarkeit anzuwenden auf die Übermittlung elektronischer Akten von</w:t>
      </w:r>
    </w:p>
    <w:p>
      <w:pPr>
        <w:ind w:left="420"/>
      </w:pPr>
      <w:r>
        <w:t xml:space="preserve">1. Behörden und</w:t>
      </w:r>
    </w:p>
    <w:p>
      <w:pPr>
        <w:ind w:left="420"/>
      </w:pPr>
      <w:r>
        <w:t xml:space="preserve">2. juristischen Personen des öffentlichen Rechts einschließlich der von diesen zur Erfüllung ihrer öffentlichen Aufgaben gebildeten Zusammenschlüsse</w:t>
      </w:r>
    </w:p>
    <w:p>
      <w:r>
        <w:t xml:space="preserve">an die Gerichte. Besondere Verordnungen über die Standards für die Übermittlung elektronischer Akten gehen dieser Verordnung vor.</w:t>
      </w:r>
    </w:p>
    <w:p>
      <w:r>
        <w:rPr>
          <w:color w:val="555555"/>
          <w:sz w:val="17"/>
        </w:rPr>
        <w:t xml:space="preserve">Zitiervorschlag: § 1 BehAktÜbV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https://recht.nulegal.eu/gesetze/BehAkt%C3%9CbV/1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