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BegleitG — Rückkehr zum einheitlichen Verordnungsrang</w:t>
      </w:r>
    </w:p>
    <w:p>
      <w:r>
        <w:rPr>
          <w:color w:val="555555"/>
          <w:sz w:val="18"/>
        </w:rPr>
        <w:t xml:space="preserve">Begleitgesetz zum Telekommunikationsgesetz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 diesem Gesetz geänderten Rechtsverordnungen können auf Grund der jeweils einschlägigen Ermächtigung durch Rechtsverordnung geändert werden.</w:t>
      </w:r>
    </w:p>
    <w:p>
      <w:r>
        <w:rPr>
          <w:color w:val="555555"/>
          <w:sz w:val="17"/>
        </w:rPr>
        <w:t xml:space="preserve">Zitiervorschlag: Art 4 BegleitG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https://recht.nulegal.eu/gesetze/BegleitG/4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