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BeglV 2003</w:t>
      </w:r>
    </w:p>
    <w:p>
      <w:r>
        <w:rPr>
          <w:color w:val="555555"/>
          <w:sz w:val="18"/>
        </w:rPr>
        <w:t xml:space="preserve">Beglaubigungsverordnung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33 Abs. 1 Satz 2 und Abs. 4 sowie des § 34 Abs. 1 Satz 1 und Abs. 4 in Verbindung mit Abs. 5 des Verwaltungsverfahrensgesetzes in der Fassung der Bekanntmachung vom 23. Januar 2003 (BGBl. I S. 102) verordnet die Bundesregierung:</w:t>
      </w:r>
    </w:p>
    <w:p>
      <w:r>
        <w:rPr>
          <w:color w:val="555555"/>
          <w:sz w:val="17"/>
        </w:rPr>
        <w:t xml:space="preserve">Zitiervorschlag: Eingangsformel BeglV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https://recht.nulegal.eu/gesetze/BeglV%202003/eingangsformel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