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BeglV 2003 — Inkrafttreten, Außerkrafttreten</w:t>
      </w:r>
    </w:p>
    <w:p>
      <w:r>
        <w:rPr>
          <w:color w:val="555555"/>
          <w:sz w:val="18"/>
        </w:rPr>
        <w:t xml:space="preserve">Beglaubigungsverordnung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Februar 2003 in Kraft.</w:t>
      </w:r>
    </w:p>
    <w:p>
      <w:r>
        <w:rPr>
          <w:color w:val="555555"/>
          <w:sz w:val="17"/>
        </w:rPr>
        <w:t xml:space="preserve">Zitiervorschlag: § 2 BeglV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