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BefBezG 2008 — Zulassung von Versammlungen unter freiem Himmel und Aufzügen</w:t>
      </w:r>
    </w:p>
    <w:p>
      <w:r>
        <w:rPr>
          <w:color w:val="555555"/>
          <w:sz w:val="18"/>
        </w:rPr>
        <w:t xml:space="preserve">Gesetz über befriedete Bezirke für Verfassungsorgane des Bundes</w:t>
      </w:r>
    </w:p>
    <w:p>
      <w:r>
        <w:rPr>
          <w:color w:val="555555"/>
          <w:sz w:val="18"/>
        </w:rPr>
        <w:t xml:space="preserve">Stand: 05.07.2020 (konsolidierte Textfassung, kein amtliches Inkrafttretensdatum)</w:t>
      </w:r>
    </w:p>
    <w:p>
      <w:r>
        <w:t xml:space="preserve">(1) Öffentliche Versammlungen unter freiem Himmel und Aufzüge innerhalb der nach § 1 gebildeten befriedeten Bezirke sind zuzulassen, wenn eine Beeinträchtigung der Tätigkeit des Deutschen Bundestages und seiner Fraktionen, des Bundesrates oder des Bundesverfassungsgerichts sowie ihrer Organe und Gremien und eine Behinderung des freien Zugangs zu ihren in dem befriedeten Bezirk gelegenen Gebäuden nicht zu besorgen ist. Davon ist im Falle des Deutschen Bundestages und des Bundesrates in der Regel dann auszugehen, wenn die Versammlung oder der Aufzug an einem Tag durchgeführt werden soll, an dem Sitzungen der in Satz 1 genannten Stellen nicht stattfinden. Die Zulassung kann mit Auflagen verbunden werden.</w:t>
      </w:r>
    </w:p>
    <w:p>
      <w:r>
        <w:t xml:space="preserve">(2) Anträge auf Zulassung von Versammlungen nach Absatz 1 sollen spätestens sieben Tage vor der beabsichtigten Versammlung oder dem Aufzug schriftlich, elektronisch oder zur Niederschrift beim Bundesministerium des Innern, für Bau und Heimat gestellt werden. Das Bundesministerium des Innern, für Bau und Heimat entscheidet jeweils im Einvernehmen mit dem Präsidenten oder der Präsidentin der in § 1 Satz 1 genannten Verfassungsorgane. Die Entscheidung nach Satz 2 ergeht schriftlich oder elektronisch.</w:t>
      </w:r>
    </w:p>
    <w:p>
      <w:r>
        <w:t xml:space="preserve">(3) Durch die Zulassung werden die in den Ländern Berlin und Baden-Württemberg jeweils geltenden versammlungsrechtlichen Vorschriften nicht berührt.</w:t>
      </w:r>
    </w:p>
    <w:p>
      <w:r>
        <w:rPr>
          <w:color w:val="555555"/>
          <w:sz w:val="17"/>
        </w:rPr>
        <w:t xml:space="preserve">Zitiervorschlag: § 3 BefBezG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https://recht.nulegal.eu/gesetze/BefBezG%202008/3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