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BefBezG 2008 — Befriedete Bezirke</w:t>
      </w:r>
    </w:p>
    <w:p>
      <w:r>
        <w:rPr>
          <w:color w:val="555555"/>
          <w:sz w:val="18"/>
        </w:rPr>
        <w:t xml:space="preserve">Gesetz über befriedete Bezirke für Verfassungsorgane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den Deutschen Bundestag, den Bundesrat und das Bundesverfassungsgericht werden befriedete Bezirke gebildet. Die Abgrenzung der befriedeten Bezirke ergibt sich aus der Anlage zu diesem Gesetz.</w:t>
      </w:r>
    </w:p>
    <w:p>
      <w:r>
        <w:rPr>
          <w:color w:val="555555"/>
          <w:sz w:val="17"/>
        </w:rPr>
        <w:t xml:space="preserve">Zitiervorschlag: § 1 BefBezG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https://recht.nulegal.eu/gesetze/BefBezG%202008/1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