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BefBedV</w:t>
      </w:r>
    </w:p>
    <w:p>
      <w:r>
        <w:rPr>
          <w:color w:val="555555"/>
          <w:sz w:val="18"/>
        </w:rPr>
        <w:t xml:space="preserve">Verordnung über die Allgemeinen Beförderungsbedingungen für den Straßenbahn- und Obusverkehr sowie den Linienverkehr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58 Abs. 1 Nr. 3 des Personenbeförderungsgesetzes vom 21. März 1961 (Bundesgesetzbl. I S. 241), zuletzt geändert durch das Zweite Gesetz zur Änderung des Personenbeförderungsgesetzes vom 8. Mai 1969 (Bundesgesetzbl. I S. 348), wird mit Zustimmung des Bundesrates verordnet:</w:t>
      </w:r>
    </w:p>
    <w:p>
      <w:r>
        <w:rPr>
          <w:color w:val="555555"/>
          <w:sz w:val="17"/>
        </w:rPr>
        <w:t xml:space="preserve">Zitiervorschlag: Eingangsformel BefBedV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https://recht.nulegal.eu/gesetze/BefBedV/eingangsformel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