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9 BefBedV — Erhöhtes Beförderungsentgelt</w:t>
      </w:r>
    </w:p>
    <w:p>
      <w:r>
        <w:rPr>
          <w:color w:val="555555"/>
          <w:sz w:val="18"/>
        </w:rPr>
        <w:t xml:space="preserve">Verordnung über die Allgemeinen Beförderungsbedingungen für den Straßenbahn- und Obusverkehr sowie den Linienverkehr mit Kraftfahrzeugen</w:t>
      </w:r>
    </w:p>
    <w:p>
      <w:r>
        <w:rPr>
          <w:color w:val="555555"/>
          <w:sz w:val="18"/>
        </w:rPr>
        <w:t xml:space="preserve">Stand: 10.06.2019 (konsolidierte Textfassung, kein amtliches Inkrafttretensdatum)</w:t>
      </w:r>
    </w:p>
    <w:p>
      <w:r>
        <w:t xml:space="preserve">(1) Ein Fahrgast ist zur Zahlung eines erhöhten Beförderungsentgelts verpflichtet, wenn er</w:t>
      </w:r>
    </w:p>
    <w:p>
      <w:pPr>
        <w:ind w:left="420"/>
      </w:pPr>
      <w:r>
        <w:t xml:space="preserve">1. sich keinen gültigen Fahrausweis beschafft hat,</w:t>
      </w:r>
    </w:p>
    <w:p>
      <w:pPr>
        <w:ind w:left="420"/>
      </w:pPr>
      <w:r>
        <w:t xml:space="preserve">2. sich einen gültigen Fahrausweis beschafft hat, diesen jedoch bei einer Überprüfung nicht vorzeigen kann,</w:t>
      </w:r>
    </w:p>
    <w:p>
      <w:pPr>
        <w:ind w:left="420"/>
      </w:pPr>
      <w:r>
        <w:t xml:space="preserve">3. den Fahrausweis nicht oder nicht unverzüglich im Sinne des § 6 Abs. 3 entwertet hat oder entwerten ließ oder</w:t>
      </w:r>
    </w:p>
    <w:p>
      <w:pPr>
        <w:ind w:left="420"/>
      </w:pPr>
      <w:r>
        <w:t xml:space="preserve">4. den Fahrausweis auf Verlangen nicht zur Prüfung vorzeigt oder aushändigt.</w:t>
      </w:r>
    </w:p>
    <w:p>
      <w:r>
        <w:t xml:space="preserve">Eine Verfolgung im Straf- oder Bußgeldverfahren bleibt unberührt. Die Vorschriften unter den Nummern 1 und 3 werden nicht angewendet, wenn das Beschaffen oder die Entwertung des Fahrausweises aus Gründen unterblieben ist, die der Fahrgast nicht zu vertreten hat.</w:t>
      </w:r>
    </w:p>
    <w:p>
      <w:r>
        <w:t xml:space="preserve">(2) In den Fällen des Absatzes 1 kann der Unternehmer ein erhöhtes Beförderungsentgelt bis zu 60 Euro erheben. Er kann jedoch das Doppelte des Beförderungsentgelts für einfache Fahrt auf der vom Fahrgast zurückgelegten Strecke erheben, sofern sich hiernach ein höherer Betrag als nach Satz 1 ergibt; hierbei kann das erhöhte Beförderungsentgelt nach dem Ausgangspunkt der Linie berechnet werden, wenn der Fahrgast die zurückgelegte Strecke nicht nachweisen kann.</w:t>
      </w:r>
    </w:p>
    <w:p>
      <w:r>
        <w:t xml:space="preserve">(3) Das erhöhte Beförderungsentgelt ermäßigt sich im Falle von Absatz 1 Nr. 2 auf 7 Euro, wenn der Fahrgast innerhalb einer Woche ab dem Feststellungstag bei der Verwaltung des Unternehmers nachweist, daß er im Zeitpunkt der Feststellung Inhaber einer gültigen persönlichen Zeitkarte war.</w:t>
      </w:r>
    </w:p>
    <w:p>
      <w:r>
        <w:t xml:space="preserve">(4) Bei Verwendung von ungültigen Zeitkarten bleiben weitergehende Ansprüche des Unternehmers unberührt.</w:t>
      </w:r>
    </w:p>
    <w:p>
      <w:r>
        <w:rPr>
          <w:color w:val="555555"/>
          <w:sz w:val="17"/>
        </w:rPr>
        <w:t xml:space="preserve">Zitiervorschlag: § 9 BefBedV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https://recht.nulegal.eu/gesetze/BefBedV/9</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