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BefBedV — Von der Beförderung ausgeschlossene Personen</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(1) Personen, die eine Gefahr für die Sicherheit oder Ordnung des Betriebs oder für die Fahrgäste darstellen, sind von der Beförderung ausgeschlossen. Soweit diese Voraussetzungen vorliegen, sind insbesondere ausgeschlossen</w:t>
      </w:r>
    </w:p>
    <w:p>
      <w:pPr>
        <w:ind w:left="420"/>
      </w:pPr>
      <w:r>
        <w:t xml:space="preserve">1. Personen, die unter dem Einfluß geistiger Getränke oder anderer berauschender Mittel stehen,</w:t>
      </w:r>
    </w:p>
    <w:p>
      <w:pPr>
        <w:ind w:left="420"/>
      </w:pPr>
      <w:r>
        <w:t xml:space="preserve">2. Personen mit ansteckenden Krankheiten,</w:t>
      </w:r>
    </w:p>
    <w:p>
      <w:pPr>
        <w:ind w:left="420"/>
      </w:pPr>
      <w:r>
        <w:t xml:space="preserve">3. Personen mit geladenen Schußwaffen, es sei denn, daß sie zum Führen von Schußwaffen berechtigt sind.</w:t>
      </w:r>
    </w:p>
    <w:p>
      <w:r>
        <w:t xml:space="preserve">(2) Nicht schulpflichtige Kinder vor Vollendung des 6. Lebensjahrs können von der Beförderung ausgeschlossen werden, sofern sie nicht auf der ganzen Fahrstrecke von Personen begleitet werden, die mindestens das 6. Lebensjahr vollendet haben; die Vorschriften des Absatzes 1 bleiben unberührt.</w:t>
      </w:r>
    </w:p>
    <w:p>
      <w:r>
        <w:rPr>
          <w:color w:val="555555"/>
          <w:sz w:val="17"/>
        </w:rPr>
        <w:t xml:space="preserve">Zitiervorschlag: § 3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