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BefBedV — Geltungsbereich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Allgemeinen Beförderungsbedingungen gelten für die Beförderung im Straßenbahn- und Obusverkehr sowie im Linienverkehr mit Kraftfahrzeugen. Die zuständige Genehmigungsbehörde kann in Berücksichtigung besonderer Verhältnisse Anträgen auf Abweichungen von den Bestimmungen dieser Verordnung zustimmen (Besondere Beförderungsbedingungen).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