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6 BedGgstV — (zu § 8 Absatz 3 und § 10 Absatz 2 Satz 3) Bedarfsgegenstände, von denen bestimmte Stoffe nur bis zu einer festgelegten Höchstmenge auf Lebensmittel übergehen dürfen</w:t>
      </w:r>
    </w:p>
    <w:p>
      <w:r>
        <w:rPr>
          <w:color w:val="555555"/>
          <w:sz w:val="18"/>
        </w:rPr>
        <w:t xml:space="preserve">Bedarfsgegenständeverordnung</w:t>
      </w:r>
    </w:p>
    <w:p>
      <w:r>
        <w:rPr>
          <w:color w:val="555555"/>
          <w:sz w:val="18"/>
        </w:rPr>
        <w:t xml:space="preserve">Stand: 10.06.2019 (konsolidierte Textfassung, kein amtliches Inkrafttretensdatum)</w:t>
      </w:r>
    </w:p>
    <w:p>
      <w:r>
        <w:t xml:space="preserve">(Fundstelle: BGBl. I 1998, 32; bzgl. der einzelnen Änderungen vgl. Fußnote)</w:t>
      </w:r>
    </w:p>
    <w:p>
      <w:r>
        <w:rPr>
          <w:rFonts w:ascii="Courier New" w:hAnsi="Courier New"/>
          <w:sz w:val="17"/>
        </w:rPr>
        <w:t xml:space="preserve">Lfd. Nr.    Bedarfsgegenstand    Höchstmenge</w:t>
      </w:r>
    </w:p>
    <w:p>
      <w:r>
        <w:rPr>
          <w:rFonts w:ascii="Courier New" w:hAnsi="Courier New"/>
          <w:sz w:val="17"/>
        </w:rPr>
        <w:t xml:space="preserve">1    2    3</w:t>
      </w:r>
    </w:p>
    <w:p>
      <w:r>
        <w:rPr>
          <w:rFonts w:ascii="Courier New" w:hAnsi="Courier New"/>
          <w:sz w:val="17"/>
        </w:rPr>
        <w:t xml:space="preserve">1.    (weggefallen)    </w:t>
      </w:r>
    </w:p>
    <w:p>
      <w:r>
        <w:rPr>
          <w:rFonts w:ascii="Courier New" w:hAnsi="Courier New"/>
          <w:sz w:val="17"/>
        </w:rPr>
        <w:t xml:space="preserve">2.    Lebensmittelbedarfs-gegenstände aus Keramik:    Blei *1)    Cadmium *1)</w:t>
      </w:r>
    </w:p>
    <w:p>
      <w:r>
        <w:rPr>
          <w:rFonts w:ascii="Courier New" w:hAnsi="Courier New"/>
          <w:sz w:val="17"/>
        </w:rPr>
        <w:t xml:space="preserve">-    Nicht füllbare Gegenstände; Füllbare Gegenstände mit einer Fülltiefe bis 25 mm    0,8 mg/qdm    0,07 mg/qdm</w:t>
      </w:r>
    </w:p>
    <w:p>
      <w:r>
        <w:rPr>
          <w:rFonts w:ascii="Courier New" w:hAnsi="Courier New"/>
          <w:sz w:val="17"/>
        </w:rPr>
        <w:t xml:space="preserve">-    Füllbare Gegenstände mit einer Fülltiefe von mehr als 25 mm    4,0 mg/l    0,3 mg/l</w:t>
      </w:r>
    </w:p>
    <w:p>
      <w:r>
        <w:rPr>
          <w:rFonts w:ascii="Courier New" w:hAnsi="Courier New"/>
          <w:sz w:val="17"/>
        </w:rPr>
        <w:t xml:space="preserve">-    Koch- und Backgeräte; Verpackungs- und Lagerbehältnisse mit mehr als 3 Liter Füllvolumen    1,5 mg/l    0,1 mg/l</w:t>
      </w:r>
    </w:p>
    <w:p>
      <w:r>
        <w:t xml:space="preserve">*1) Wird bei einem Prüfgegenstand die Höchstmenge um nicht mehr als 50% überschritten, so gilt diese gleichwohl als eingehalten, wenn bei mindestens drei anderen in bezug auf Werkstoff, Form, Abmessung, Dekor und Glasur gleichen Keramikgegenständen die Höchstmenge im arithmetischen Mittel nicht überschritten wird und bei keinem einzelnen dieser Keramikgegenstände eine Überschreitung um mehr als 50% festgestellt wird. Besteht ein Lebensmittelbedarfsgegenstand aus Keramik aus einem Behälter und einem Keramikdeckel, so gilt als Höchstmenge der Wert, der für den Behälter allein gilt. Der Behälter allein und die innere Oberfläche des Deckels werden unter den gleichen Bedingungen getrennt geprüft. Die Summe der beiden so festgestellten Werte wird je nach Fall auf die Fläche oder das Volumen des Behälters allein bezogen.</w:t>
      </w:r>
    </w:p>
    <w:p>
      <w:r>
        <w:rPr>
          <w:color w:val="555555"/>
          <w:sz w:val="17"/>
        </w:rPr>
        <w:t xml:space="preserve">Zitiervorschlag: Anlage 6 BedGgstV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https://recht.nulegal.eu/gesetze/BedGgstV/anlage-6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6 BedGgstV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