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4 BedGgstV — (zu § 5) Verfahren, die beim Herstellen bestimmter Bedarfsgegenstände nicht angewendet werden dürfen</w:t>
      </w:r>
    </w:p>
    <w:p>
      <w:r>
        <w:rPr>
          <w:color w:val="555555"/>
          <w:sz w:val="18"/>
        </w:rPr>
        <w:t xml:space="preserve">Bedarfsgegenständeverordnung</w:t>
      </w:r>
    </w:p>
    <w:p>
      <w:r>
        <w:rPr>
          <w:color w:val="555555"/>
          <w:sz w:val="18"/>
        </w:rPr>
        <w:t xml:space="preserve">Stand: 10.06.2019 (konsolidierte Textfassung, kein amtliches Inkrafttretensdatum)</w:t>
      </w:r>
    </w:p>
    <w:p>
      <w:r>
        <w:t xml:space="preserve">(Fundstelle des Originaltextes: BGBl. I 1998, 31; bzgl. der einzelnen Änderungen vgl. Fußnote)</w:t>
      </w:r>
    </w:p>
    <w:p>
      <w:r>
        <w:rPr>
          <w:rFonts w:ascii="Courier New" w:hAnsi="Courier New"/>
          <w:sz w:val="17"/>
        </w:rPr>
        <w:t xml:space="preserve">Lfd. Nr.    Bedarfsgegenstand    Verfahren</w:t>
      </w:r>
    </w:p>
    <w:p>
      <w:r>
        <w:rPr>
          <w:rFonts w:ascii="Courier New" w:hAnsi="Courier New"/>
          <w:sz w:val="17"/>
        </w:rPr>
        <w:t xml:space="preserve">1.    a)Beruhigungs- und Flaschensauger aus Elastomeren oder Gummib)Spielzeug aus Natur- oder Synthesekautschuk für Kinder bis zu 36 Monaten, das bestimmungsgemäß oder vorhersehbar in den Mund genommen wird    Verfahren, die bewirken, dass aus dem Bedarfsgegenstand N-Nitrosamine oder in N-Nitrosamine umsetzbare Stoffe in eine Speichellösung in einer Menge abgegeben werden, die mit einer in Anlage 10 Nr. 6 beschriebenen Methode nachweisbar sind.</w:t>
      </w:r>
    </w:p>
    <w:p>
      <w:r>
        <w:rPr>
          <w:rFonts w:ascii="Courier New" w:hAnsi="Courier New"/>
          <w:sz w:val="17"/>
        </w:rPr>
        <w:t xml:space="preserve">2.    Bedarfsgegenstände aus Leder, die dazu bestimmt sind, nicht nur vorübergehend mit dem menschlichen Körper in Berührung zu kommen, insbesondere Bekleidungsgegenstände, Uhrarmbänder, Taschen und Rucksäcke, Stuhlüberzüge, Brustbeutel sowie Lederspielwaren    Verfahren, die bewirken, dass in dem Bedarfsgegenstand Chrom(VI) mit der in Anlage 10 Nummer 8 beschriebenen Methode nachweisbar ist.</w:t>
      </w:r>
    </w:p>
    <w:p>
      <w:r>
        <w:rPr>
          <w:color w:val="555555"/>
          <w:sz w:val="17"/>
        </w:rPr>
        <w:t xml:space="preserve">Zitiervorschlag: Anlage 4 BedGgstV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https://recht.nulegal.eu/gesetze/BedGgstV/anlage-4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