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 BedGgstV — Warnhinweise</w:t>
      </w:r>
    </w:p>
    <w:p>
      <w:r>
        <w:rPr>
          <w:color w:val="555555"/>
          <w:sz w:val="18"/>
        </w:rPr>
        <w:t xml:space="preserve">Bedarfsgegenständeverordnung</w:t>
      </w:r>
    </w:p>
    <w:p>
      <w:r>
        <w:rPr>
          <w:color w:val="555555"/>
          <w:sz w:val="18"/>
        </w:rPr>
        <w:t xml:space="preserve">Stand: 10.06.2019 (konsolidierte Textfassung, kein amtliches Inkrafttretensdatum)</w:t>
      </w:r>
    </w:p>
    <w:p>
      <w:r>
        <w:t xml:space="preserve">In Anlage 7 aufgeführte Bedarfsgegenstände dürfen gewerbsmäßig nur in den Verkehr gebracht werden, wenn die dort aufgeführten Warnhinweise an der dort genannten Stelle unverwischbar, deutlich sichtbar, leicht lesbar und in deutscher Sprache angegeben sind.</w:t>
      </w:r>
    </w:p>
    <w:p>
      <w:r>
        <w:rPr>
          <w:color w:val="555555"/>
          <w:sz w:val="17"/>
        </w:rPr>
        <w:t xml:space="preserve">Zitiervorschlag: § 9 BedGgstV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https://recht.nulegal.eu/gesetze/BedGgstV/9</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