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BedGgstV — Zugelassene Stoffe</w:t>
      </w:r>
    </w:p>
    <w:p>
      <w:r>
        <w:rPr>
          <w:color w:val="555555"/>
          <w:sz w:val="18"/>
        </w:rPr>
        <w:t xml:space="preserve">Bedarfsgegenständeverordnung</w:t>
      </w:r>
    </w:p>
    <w:p>
      <w:r>
        <w:rPr>
          <w:color w:val="555555"/>
          <w:sz w:val="18"/>
        </w:rPr>
        <w:t xml:space="preserve">Stand: 31.12.2025 (konsolidierte Textfassung, kein amtliches Inkrafttretensdatum)</w:t>
      </w:r>
    </w:p>
    <w:p>
      <w:r>
        <w:t xml:space="preserve">(1) Bei dem gewerbsmäßigen Herstellen von Lebensmittelbedarfsgegenständen aus den in § 2 Nr. 2 Buchstabe a und b genannten Zellglasfolien dürfen nur die in Anlage 2 aufgeführten Stoffe unter Einhaltung der dort in Spalte 2 genannten Verwendungsbeschränkungen verwendet werden. Die Stoffe dürfen nur verwendet werden, wenn sie den in Spalte 4 festgesetzten Reinheitsanforderungen entsprechen. Soweit in Spalte 4 keine Reinheitsanforderungen festgelegt sind, müssen die verwendeten Stoffe im Hinblick auf ihren Einsatzbereich handelsüblichen Reinheitsanforderungen genügen. Abweichend von Satz 1 dürfen auch andere als die dort genannten Stoffe als Farbstoff und Klebstoff verwendet werden, sofern ein Übergang der Stoffe auf die mit der Folie in Berührung kommenden Lebensmittel oder deren Oberfläche nach einer anerkannten Analysenmethode nicht festzustellen ist.</w:t>
      </w:r>
    </w:p>
    <w:p>
      <w:r>
        <w:t xml:space="preserve">(1a) Bei dem gewerbsmäßigen Herstellen von Lebensmittelbedarfsgegenständen aus den in § 2 Nr. 2 Buchstabe c genannten Zellglasfolien dürfen vor der Beschichtung nur die in Anlage 2 Teil A aufgeführten Stoffe unter Einhaltung der dort in Spalte 2 genannten Verwendungsbeschränkungen verwendet werden. Absatz 1 Satz 2 bis 4 ist anzuwenden.</w:t>
      </w:r>
    </w:p>
    <w:p>
      <w:r>
        <w:t xml:space="preserve">(2) Vorbehaltlich des Absatzes 3 dürfen bei dem gewerbsmäßigen Herstellen von Lebensmittelbedarfsgegenständen im Sinne des § 2 Nummer 2 Buchstabe c hinsichtlich der Beschichtung als</w:t>
      </w:r>
    </w:p>
    <w:p>
      <w:pPr>
        <w:ind w:left="420"/>
      </w:pPr>
      <w:r>
        <w:t xml:space="preserve">1. Monomere oder andere Ausgangsstoffe,</w:t>
      </w:r>
    </w:p>
    <w:p>
      <w:pPr>
        <w:ind w:left="420"/>
      </w:pPr>
      <w:r>
        <w:t xml:space="preserve">2. Additive außer Farbmittel,</w:t>
      </w:r>
    </w:p>
    <w:p>
      <w:pPr>
        <w:ind w:left="420"/>
      </w:pPr>
      <w:r>
        <w:t xml:space="preserve">3. Hilfsstoffe bei der Herstellung von Kunststoffen außer Lösungsmittel sowie</w:t>
      </w:r>
    </w:p>
    <w:p>
      <w:pPr>
        <w:ind w:left="420"/>
      </w:pPr>
      <w:r>
        <w:t xml:space="preserve">4. durch mikrobielle Fermentation gewonnene Makromoleküle</w:t>
      </w:r>
    </w:p>
    <w:p>
      <w:r>
        <w:t xml:space="preserve">nur die in Anhang I Nummer 1 Tabelle 1 der Verordnung (EU) Nr. 10/2011 in der Fassung vom 21. Februar 2025 aufgeführten Stoffe unter Einhaltung der Beschränkungen und Spezifikationen nach Anhang I Nummer 1 Tabelle 1 Spalte 10 und Nummer 4 der Verordnung (EU) Nr. 10/2011 in der Fassung vom 21. Februar 2025 verwendet werden. Die Stoffe dürfen nur verwendet werden, wenn sie den allgemeinen Anforderungen nach Artikel 8 Satz 1 der Verordnung (EU) Nr. 10/2011 in der Fassung vom 21. Februar 2025 entsprechen. Artikel 6 Absatz 3 der Verordnung (EU) Nr. 10/2011 in der Fassung vom 21. Februar 2025 gilt entsprechend.</w:t>
      </w:r>
    </w:p>
    <w:p>
      <w:r>
        <w:t xml:space="preserve">(3) (weggefallen)</w:t>
      </w:r>
    </w:p>
    <w:p>
      <w:r>
        <w:t xml:space="preserve">(4) (weggefallen)</w:t>
      </w:r>
    </w:p>
    <w:p>
      <w:r>
        <w:t xml:space="preserve">(5) Bei dem gewerbsmäßigen Herstellen bedruckter Lebensmittelbedarfsgegenstände dürfen vorbehaltlich der Absätze 7 bis 9 in den Druckfarben nur verwendet werden</w:t>
      </w:r>
    </w:p>
    <w:p>
      <w:pPr>
        <w:ind w:left="420"/>
      </w:pPr>
      <w:r>
        <w:t xml:space="preserve">1. Polymere aus in Anlage 14 Tabelle 1 aufgeführten Monomeren oder sonstigen Ausgangsstoffen sowie</w:t>
      </w:r>
    </w:p>
    <w:p>
      <w:pPr>
        <w:ind w:left="420"/>
      </w:pPr>
      <w:r>
        <w:t xml:space="preserve">2. die in Anlage 14 Tabelle 1 aufgeführten Stoffe als Monomere oder sonstige Ausgangsstoffe oder als Farbmittel, Lösungsmittel, Photoinitiatoren oder andere Additive.</w:t>
      </w:r>
    </w:p>
    <w:p>
      <w:r>
        <w:t xml:space="preserve">Die Stoffe dürfen nur verwendet werden, wenn sie den in Anlage 14 Tabelle 1 Spalte 8 festgesetzten anderen Beschränkungen, Spezifikationen und Reinheitsanforderungen entsprechen. Sofern keine Reinheitsanforderungen festgesetzt sind, müssen die Stoffe hinsichtlich der Reinheitsanforderungen von guter technischer Qualität sein. Stoffe in Form von Nanomaterialien dürfen nur verwendet werden, sofern dies in Anlage 14 Tabelle 1 Spalte 8 ausdrücklich bestimmt ist. Neben den in Anlage 14 Tabelle 1 genannten Säuren, Phenolen und Alkoholen dürfen auch ihre Salze, einschließlich der Doppelsalze und sauren Salze, des Aluminiums, Ammoniums, Bariums, Calciums, Eisens, Kaliums, Kobalts, Kupfers, Lithiums, Magnesiums, Mangans, Natriums und Zinks verwendet werden. Sind in Anlage 14 Tabelle 1 Salze von Säuren, Phenolen oder Alkoholen genannt, ist nur die Verwendung dieser Salze sowie die Verwendung von Salzen, einschließlich der Doppelsalze und sauren Salze, des Aluminiums, Ammoniums, Bariums, Calciums, Eisens, Kaliums, Kobalts, Kupfers, Lithiums, Magnesiums, Mangans, Natriums und Zinks dieser Säuren, Phenole oder Alkohole zulässig.</w:t>
      </w:r>
    </w:p>
    <w:p>
      <w:r>
        <w:t xml:space="preserve">(6) Vorbehaltlich der Absätze 7, 8 und 10 dürfen die in Anlage 14 Tabelle 1 aufgeführten Monomere oder sonstigen Ausgangsstoffe als Additive und die in Anlage 14 Tabelle 1 aufgeführten Additive als Monomere oder sonstige Ausgangsstoffe verwendet werden, sofern sie den in Anlage 14 Tabelle 1 Spalte 8 festgesetzten anderen Beschränkungen, Spezifikationen und Reinheitsanforderungen entsprechen.</w:t>
      </w:r>
    </w:p>
    <w:p>
      <w:r>
        <w:t xml:space="preserve">(7) Sofern die Druckfarben nicht dazu bestimmt sind, unmittelbar mit dem Lebensmittel in Berührung zu kommen, dürfen neben den nach den Absätzen 5 und 6 zulässigen Stoffen bei dem gewerbsmäßigen Herstellen bedruckter Lebensmittelbedarfsgegenstände in den Druckfarben verwendet werden:</w:t>
      </w:r>
    </w:p>
    <w:p>
      <w:pPr>
        <w:ind w:left="420"/>
      </w:pPr>
      <w:r>
        <w:t xml:space="preserve">1. Polymere aus anderen als den in Anlage 14 Tabelle 1 aufgeführten Monomeren oder sonstigen Ausgangsstoffen und</w:t>
      </w:r>
    </w:p>
    <w:p>
      <w:pPr>
        <w:ind w:left="420"/>
      </w:pPr>
      <w:r>
        <w:t xml:space="preserve">2. als Monomere oder sonstige Ausgangsstoffe, oder als Farbmittel, Lösungsmittel, Photoinitiatoren oder andere Additive andere als die in Anlage 14 Tabelle 1 aufgeführten Stoffe.</w:t>
      </w:r>
    </w:p>
    <w:p>
      <w:r>
        <w:t xml:space="preserve">Die Stoffe im Sinne des Satzes 1 dürfen ferner nur verwendet werden, sofern sie nicht nach den Anforderungen der Abschnitte 3.5, 3.6 und 3.7 des Anhangs I der Verordnung (EG) Nr. 1272/2008 in der Fassung vom 23. Oktober 2024, als „mutagen“, „karzinogen“ oder „reproduktionstoxisch“ eingestuft sind. Stoffe im Sinne des Satzes 1 sind auch solche in Form von Nanomaterialien. Satz 1 gilt nicht für bedruckte Lebensmittelbedarfsgegenstände, bei denen die Druckfarben bei einer normalen, vorhersehbaren Verwendung der Lebensmittelbedarfsgegenstände unmittelbar mit Lebensmitteln in Berührung kommen, obwohl sie nicht dazu bestimmt sind.</w:t>
      </w:r>
    </w:p>
    <w:p>
      <w:r>
        <w:t xml:space="preserve">(8) Im Übrigen dürfen bei dem gewerbsmäßigen Herstellen bedruckter Lebensmittelbedarfsgegenstände in den Druckfarben Monomere oder sonstige Ausgangsstoffe sowie Additive verwendet werden, sofern sie</w:t>
      </w:r>
    </w:p>
    <w:p>
      <w:pPr>
        <w:ind w:left="420"/>
      </w:pPr>
      <w:r>
        <w:t xml:space="preserve">1. in der jeweils geltenden Fassung des Anhangs I der Verordnung (EU) Nr. 10/2011 ohne Gruppenbeschränkungen nach der dortigen Tabelle 1 Spalte 9 oder ohne Beschränkungen und Spezifikationen nach der dortigen Tabelle 1 Spalte 10 aufgeführt sind,</w:t>
      </w:r>
    </w:p>
    <w:p>
      <w:pPr>
        <w:ind w:left="420"/>
      </w:pPr>
      <w:r>
        <w:t xml:space="preserve">2. den allgemeinen Anforderungen nach Artikel 8 der Verordnung (EU) Nr. 10/2011 in der jeweils geltenden Fassung entsprechen und</w:t>
      </w:r>
    </w:p>
    <w:p>
      <w:pPr>
        <w:ind w:left="420"/>
      </w:pPr>
      <w:r>
        <w:t xml:space="preserve">3. bezogen auf den bedruckten Lebensmittelbedarfsgegenstand, die in Anhang I Tabelle 1 Spalte 8 der Verordnung (EU) Nr. 10/2011 in der jeweils geltenden Fassung genannten Grenzwerte für den Übergang auf das Lebensmittel einhalten.</w:t>
      </w:r>
    </w:p>
    <w:p>
      <w:r>
        <w:t xml:space="preserve">Absatz 5 Satz 5 gilt entsprechend.</w:t>
      </w:r>
    </w:p>
    <w:p>
      <w:r>
        <w:t xml:space="preserve">(9) Neben den nach Absatz 5 Satz 1 zulässigen Stoffen dürfen bei der Bedruckung von in § 4 Absatz 7 Satz 4 bezeichneten Lebensmittelbedarfsgegenständen auch die in Anlage 14 Tabelle 2 genannten Pigmente unter den dort festgelegten Bedingungen, Spezifikationen und Reinheitsanforderungen verwendet werden. Absatz 5 Satz 3 gilt entsprechend.</w:t>
      </w:r>
    </w:p>
    <w:p>
      <w:r>
        <w:t xml:space="preserve">(10) Die Absätze 5 bis 9 gelten nicht für bedruckte Lebensmittelbedarfsgegenstände, bei denen ein Übergang von Stoffen, einschließlich solcher in Form von Nanomaterialien, aus der Druckfarbe auf das Lebensmittel ausgeschlossen ist.</w:t>
      </w:r>
    </w:p>
    <w:p>
      <w:r>
        <w:t xml:space="preserve">(11) Sind in Druckfarben unbeabsichtigt eingebrachte Stoffe vorhanden, die nicht in Anlage 14 Tabelle 1 Spalte 8 oder Tabelle 2 Spalte 8 aufgeführt sind, unterliegen sie den Vorschriften des Artikels 3 Absatz 1 der Verordnung (EG)Nr. 1935/2004. Ob diese Stoffe im bedruckten Lebensmittelbedarfsgegenstand Artikel 3 Absatz 1 Buchstabe a der Verordnung (EG) Nr. 1935/2004 entsprechen, ist vom verantwortlichen Unternehmer gemäß international anerkannten wissenschaftlichen Grundsätzen der Risikobewertung zu prüfen.</w:t>
      </w:r>
    </w:p>
    <w:p>
      <w:r>
        <w:rPr>
          <w:color w:val="555555"/>
          <w:sz w:val="17"/>
        </w:rPr>
        <w:t xml:space="preserve">Zitiervorschlag: § 4 BedGgstV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https://recht.nulegal.eu/gesetze/BedGgstV/4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BedGgstV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