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BedGgstV — Verbotene Stoffe</w:t>
      </w:r>
    </w:p>
    <w:p>
      <w:r>
        <w:rPr>
          <w:color w:val="555555"/>
          <w:sz w:val="18"/>
        </w:rPr>
        <w:t xml:space="preserve">Bedarfsgegenständeverordnung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dem gewerbsmäßigen Herstellen oder Behandeln der in Anlage 1 aufgeführten Bedarfsgegenstände dürfen die dort genannten Stoffe nicht verwendet werden.</w:t>
      </w:r>
    </w:p>
    <w:p>
      <w:r>
        <w:rPr>
          <w:color w:val="555555"/>
          <w:sz w:val="17"/>
        </w:rPr>
        <w:t xml:space="preserve">Zitiervorschlag: § 3 BedGgstV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https://recht.nulegal.eu/gesetze/BedGgstV/3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