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BedGgstV — Anzeige</w:t>
      </w:r>
    </w:p>
    <w:p>
      <w:r>
        <w:rPr>
          <w:color w:val="555555"/>
          <w:sz w:val="18"/>
        </w:rPr>
        <w:t xml:space="preserve">Bedarfsgegenständeverordnung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Unternehmer, die Lebensmittelbedarfsgegenstände als Fertigerzeugnis herstellen, behandeln oder in den Verkehr bringen, haben dies spätestens bei Aufnahme der Tätigkeit gemäß Absatz 2 der für den jeweiligen Betrieb zuständigen Behörde anzuzeigen. Satz 1 gilt nicht für Lebensmittelunternehmer, die Lebensmittelbedarfsgegenstände herstellen, behandeln oder in den Verkehr bringen, sofern der jeweilige Betrieb bereits nach Artikel 6 Absatz 2 der Verordnung (EG) Nr. 852/2004 in der Fassung vom 3. März 2021 von der zuständigen Behörde registriert worden ist. Die Ausnahme nach Satz 2 gilt entsprechend für die in Artikel 1 Absatz 2 Buchstabe c der Verordnung (EG) Nr. 852/2004 in der Fassung vom 3. März 2021 aufgeführten Erzeuger.</w:t>
      </w:r>
    </w:p>
    <w:p>
      <w:r>
        <w:t xml:space="preserve">(2) Die Anzeige nach Absatz 1 Satz 1 muss die folgenden Angaben umfassen:</w:t>
      </w:r>
    </w:p>
    <w:p>
      <w:pPr>
        <w:ind w:left="420"/>
      </w:pPr>
      <w:r>
        <w:t xml:space="preserve">1. den Namen, die Anschrift und die Rechtsform des mit dem Herstellen, Behandeln oder Inverkehrbringen befassten Unternehmens sowie des verantwortlichen Unternehmers,</w:t>
      </w:r>
    </w:p>
    <w:p>
      <w:pPr>
        <w:ind w:left="420"/>
      </w:pPr>
      <w:r>
        <w:t xml:space="preserve">2. die Bezeichnung und die Anschrift des jeweiligen Betriebes,</w:t>
      </w:r>
    </w:p>
    <w:p>
      <w:pPr>
        <w:ind w:left="420"/>
      </w:pPr>
      <w:r>
        <w:t xml:space="preserve">3. die Art der Tätigkeit des anzeigenden Unternehmens einschließlich der im Wege der Fernkommunikation durchgeführten Tätigkeiten sowie</w:t>
      </w:r>
    </w:p>
    <w:p>
      <w:pPr>
        <w:ind w:left="420"/>
      </w:pPr>
      <w:r>
        <w:t xml:space="preserve">4. die Gruppe der Materialien und Gegenstände nach Anhang I der Verordnung (EG) Nr. 1935/2004 in der Fassung vom 20. Juni 2019, die den Hauptbestandteil der hergestellten, behandelten oder in den Verkehr gebrachten Lebensmittelbedarfsgegenstände darstellt.</w:t>
      </w:r>
    </w:p>
    <w:p>
      <w:r>
        <w:t xml:space="preserve">(3) Der Unternehmer hat Änderungen der Angaben nach Absatz 2 der zuständigen Behörde spätestens sechs Monate nach Eintritt der Änderung mitzuteilen, wenn die Änderung zu diesem Zeitpunkt noch besteht.</w:t>
      </w:r>
    </w:p>
    <w:p>
      <w:r>
        <w:rPr>
          <w:color w:val="555555"/>
          <w:sz w:val="17"/>
        </w:rPr>
        <w:t xml:space="preserve">Zitiervorschlag: § 2a BedGgstV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https://recht.nulegal.eu/gesetze/BedGgstV/2a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