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BedGgstV — Begriffsbestimmungen</w:t>
      </w:r>
    </w:p>
    <w:p>
      <w:r>
        <w:rPr>
          <w:color w:val="555555"/>
          <w:sz w:val="18"/>
        </w:rPr>
        <w:t xml:space="preserve">Bedarfsgegenständeverordnung</w:t>
      </w:r>
    </w:p>
    <w:p>
      <w:r>
        <w:rPr>
          <w:color w:val="555555"/>
          <w:sz w:val="18"/>
        </w:rPr>
        <w:t xml:space="preserve">Stand: 31.12.2025 (konsolidierte Textfassung, kein amtliches Inkrafttretensdatum)</w:t>
      </w:r>
    </w:p>
    <w:p>
      <w:r>
        <w:t xml:space="preserve">Im Sinne dieser Verordnung sind</w:t>
      </w:r>
    </w:p>
    <w:p>
      <w:pPr>
        <w:ind w:left="420"/>
      </w:pPr>
      <w:r>
        <w:t xml:space="preserve">1. Lebensmittelbedarfsgegenstände:Bedarfsgegenstände im Sinne des § 2 Abs. 6 Satz 1 Nr. 1 des Lebensmittel- und Futtermittelgesetzbuches;</w:t>
      </w:r>
    </w:p>
    <w:p>
      <w:pPr>
        <w:ind w:left="420"/>
      </w:pPr>
      <w:r>
        <w:t xml:space="preserve">2. Lebensmittelbedarfsgegenstände aus Zellglasfolie:zur Verwendung als Lebensmittelbedarfsgegenstände bestimmte</w:t>
      </w:r>
    </w:p>
    <w:p>
      <w:pPr>
        <w:ind w:left="780"/>
      </w:pPr>
      <w:r>
        <w:t xml:space="preserve">a) unbeschichtete Zellglasfolien,</w:t>
      </w:r>
    </w:p>
    <w:p>
      <w:pPr>
        <w:ind w:left="780"/>
      </w:pPr>
      <w:r>
        <w:t xml:space="preserve">b) beschichtete Zellglasfolien mit einer aus Cellulose gewonnenen Beschichtung oder</w:t>
      </w:r>
    </w:p>
    <w:p>
      <w:pPr>
        <w:ind w:left="780"/>
      </w:pPr>
      <w:r>
        <w:t xml:space="preserve">c) beschichtete Zellglasfolien mit einer Beschichtung aus Kunststoff im Sinne des Artikels 3 Nummer 2 der Verordnung (EU) Nr. 10/2011,</w:t>
      </w:r>
    </w:p>
    <w:p>
      <w:pPr>
        <w:ind w:left="420"/>
      </w:pPr>
      <w:r>
        <w:t xml:space="preserve">jeweils hergestellt aus regenerierter Cellulose, die aus nicht zu anderen Zwecken verarbeitetem Holz oder aus nicht zu anderen Zwecken verarbeiteter Baumwolle gewonnen worden ist, auch mit Beschichtung auf einer oder auf beiden Seiten; ausgenommen sind Kunstdärme aus regenerierter Cellulose;</w:t>
      </w:r>
    </w:p>
    <w:p>
      <w:pPr>
        <w:ind w:left="420"/>
      </w:pPr>
      <w:r>
        <w:t xml:space="preserve">3. (weggefallen)</w:t>
      </w:r>
    </w:p>
    <w:p>
      <w:pPr>
        <w:ind w:left="420"/>
      </w:pPr>
      <w:r>
        <w:t xml:space="preserve">3a. (weggefallen)</w:t>
      </w:r>
    </w:p>
    <w:p>
      <w:pPr>
        <w:ind w:left="420"/>
      </w:pPr>
      <w:r>
        <w:t xml:space="preserve">3b. (weggefallen)</w:t>
      </w:r>
    </w:p>
    <w:p>
      <w:pPr>
        <w:ind w:left="420"/>
      </w:pPr>
      <w:r>
        <w:t xml:space="preserve">3c. (weggefallen)</w:t>
      </w:r>
    </w:p>
    <w:p>
      <w:pPr>
        <w:ind w:left="420"/>
      </w:pPr>
      <w:r>
        <w:t xml:space="preserve">4. Lebensmittelbedarfsgegenstände aus Keramik:zur Verwendung als Lebensmittelbedarfsgegenstände bestimmte Gegenstände, die aus einer Mischung anorganischer Stoffe mit einem im allgemeinen hohen Gehalt an Ton oder Silikat unter möglichem Zusatz von geringen Mengen organischer Stoffe hergestellt und nach ihrer Ausformung gebrannt sind. Sie können hochgebrannt und mit Glasuren oder Dekor versehen sein;</w:t>
      </w:r>
    </w:p>
    <w:p>
      <w:pPr>
        <w:ind w:left="420"/>
      </w:pPr>
      <w:r>
        <w:t xml:space="preserve">5. Bedarfsgegenstände aus Vinylchloridpolymerisaten:</w:t>
      </w:r>
    </w:p>
    <w:p>
      <w:pPr>
        <w:ind w:left="780"/>
      </w:pPr>
      <w:r>
        <w:t xml:space="preserve">a) Bedarfsgegenstände im Sinne des § 2 Absatz 6 Satz 1 Nummer 3 des Lebensmittel- und Futtermittelgesetzbuches,</w:t>
      </w:r>
    </w:p>
    <w:p>
      <w:pPr>
        <w:ind w:left="780"/>
      </w:pPr>
      <w:r>
        <w:t xml:space="preserve">b) Bedarfsgegenstände im Sinne des § 2 Absatz 6 Satz 1 Nummer 5 des Lebensmittel- und Futtermittelgesetzbuches, die bei bestimmungsgemäßem oder vorauszusehendem Gebrauch mit den Schleimhäuten des Mundes in Berührung kommen und</w:t>
      </w:r>
    </w:p>
    <w:p>
      <w:pPr>
        <w:ind w:left="420"/>
      </w:pPr>
      <w:r>
        <w:t xml:space="preserve">die unter Verwendung von Vinylchloridpolymerisaten oder Vinylchloridkopolymerisaten hergestellt sind;</w:t>
      </w:r>
    </w:p>
    <w:p>
      <w:pPr>
        <w:ind w:left="420"/>
      </w:pPr>
      <w:r>
        <w:t xml:space="preserve">6. Babyartikel:jedes Produkt, das dazu bestimmt ist, den Schlaf, die Entspannung, das Füttern und das Saugen von Kindern zu erleichtern oder ihrer hygienischen Versorgung zu dienen;</w:t>
      </w:r>
    </w:p>
    <w:p>
      <w:pPr>
        <w:ind w:left="420"/>
      </w:pPr>
      <w:r>
        <w:t xml:space="preserve">7. Druckfarben: Druckfarben oder Drucklacke, die in einem Druck- oder Lackierverfahren auf Lebensmittelbedarfsgegenstände aufgetragen werden;</w:t>
      </w:r>
    </w:p>
    <w:p>
      <w:pPr>
        <w:ind w:left="420"/>
      </w:pPr>
      <w:r>
        <w:t xml:space="preserve">8. bedruckte Lebensmittelbedarfsgegenstände: Lebensmittelbedarfsgegenstände, die unter Verwendung von Druckfarben hergestellt sind;</w:t>
      </w:r>
    </w:p>
    <w:p>
      <w:pPr>
        <w:ind w:left="420"/>
      </w:pPr>
      <w:r>
        <w:t xml:space="preserve">9. Nanomaterialien: Materialien in Druckfarben,</w:t>
      </w:r>
    </w:p>
    <w:p>
      <w:pPr>
        <w:ind w:left="780"/>
      </w:pPr>
      <w:r>
        <w:t xml:space="preserve">a) die natürlichen Ursprungs sind, bei Herstellungsprozessen anfallen oder gezielt hergestellt werden,</w:t>
      </w:r>
    </w:p>
    <w:p>
      <w:pPr>
        <w:ind w:left="780"/>
      </w:pPr>
      <w:r>
        <w:t xml:space="preserve">b) die Partikel in ungebundenem Zustand, als Aggregat oder als Agglomerat enthalten und</w:t>
      </w:r>
    </w:p>
    <w:p>
      <w:pPr>
        <w:ind w:left="780"/>
      </w:pPr>
      <w:r>
        <w:t xml:space="preserve">c) bei denen mindestens 50 Prozent der Partikel bezogen auf die Anzahlgrößenverteilung ein oder mehrere Außenmaße im Bereich von einem bis 100 Nanometer aufweisen;</w:t>
      </w:r>
    </w:p>
    <w:p>
      <w:pPr>
        <w:ind w:left="420"/>
      </w:pPr>
      <w:r>
        <w:t xml:space="preserve">10. Partikel: ein sehr kleines Teilchen einer Substanz mit definierten physikalischen Grenzen;</w:t>
      </w:r>
    </w:p>
    <w:p>
      <w:pPr>
        <w:ind w:left="420"/>
      </w:pPr>
      <w:r>
        <w:t xml:space="preserve">11. Agglomerat: eine Ansammlung schwach gebundener Partikel oder Aggregate, in der die resultierende Oberfläche ähnlich der Summe der Oberflächen der einzelnen Bestandteile ist;</w:t>
      </w:r>
    </w:p>
    <w:p>
      <w:pPr>
        <w:ind w:left="420"/>
      </w:pPr>
      <w:r>
        <w:t xml:space="preserve">12. Aggregat: ein Partikel aus fest gebundenen oder verschmolzenen Partikeln;</w:t>
      </w:r>
    </w:p>
    <w:p>
      <w:pPr>
        <w:ind w:left="420"/>
      </w:pPr>
      <w:r>
        <w:t xml:space="preserve">13. Verwendung von Stoffen in Druckfarben: Das planvolle Benutzen von Stoffen zur Herstellung von Druckfarben, die zumindest einem der folgenden Verwendungszwecke dienen: Monomere oder sonstige Ausgangsstoffe, Farbmittel, Lösungsmittel, Photoinitiatoren oder andere Additive.</w:t>
      </w:r>
    </w:p>
    <w:p>
      <w:r>
        <w:t xml:space="preserve">Zubereitungen zum Einfärben von Lebensmittelbedarfsgegenständen sowie Dekorfarben für Lebensmittelbedarfsgegenstände aus Keramik oder Glas, die in einem Brennverfahren aufgebracht werden, sind keine Druckfarben im Sinne des Satzes 1 Nummer 7. Als Nanomaterialien im Sinne des Satzes 1 Nummer 9 gelten auch Fullerene, Graphenflocken und einwandige Kohlenstoff-Nanoröhren mit einem oder mehreren Außenmaßen kleiner als ein Nanometer.</w:t>
      </w:r>
    </w:p>
    <w:p>
      <w:r>
        <w:t xml:space="preserve">** Zu beziehen durch Beuth-Verlag GmbH, Berlin und Köln.</w:t>
      </w:r>
    </w:p>
    <w:p>
      <w:r>
        <w:rPr>
          <w:color w:val="555555"/>
          <w:sz w:val="17"/>
        </w:rPr>
        <w:t xml:space="preserve">Zitiervorschlag: § 2 BedGgstV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https://recht.nulegal.eu/gesetze/BedGgstV/2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