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BedGgstV — (Aufhebung von Vorschriften)</w:t>
      </w:r>
    </w:p>
    <w:p>
      <w:r>
        <w:rPr>
          <w:color w:val="555555"/>
          <w:sz w:val="18"/>
        </w:rPr>
        <w:t xml:space="preserve">Bedarfsgegenständeverordnung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 BedGgstV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https://recht.nulegal.eu/gesetze/BedGgstV/14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BedGgstV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