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BedGgstV — Unberührtheitsklausel</w:t>
      </w:r>
    </w:p>
    <w:p>
      <w:r>
        <w:rPr>
          <w:color w:val="555555"/>
          <w:sz w:val="18"/>
        </w:rPr>
        <w:t xml:space="preserve">Bedarfsgegenständeverordnung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der auf das Chemikaliengesetz gestützten Rechtsverordnungen und der Verordnung über die Sicherheit von Spielzeug bleiben unberührt.</w:t>
      </w:r>
    </w:p>
    <w:p>
      <w:r>
        <w:rPr>
          <w:color w:val="555555"/>
          <w:sz w:val="17"/>
        </w:rPr>
        <w:t xml:space="preserve">Zitiervorschlag: § 13 BedGgstV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https://recht.nulegal.eu/gesetze/BedGgstV/13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